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rPr>
      </w:pPr>
    </w:p>
    <w:p>
      <w:pPr>
        <w:tabs>
          <w:tab w:val="left" w:pos="360"/>
        </w:tabs>
        <w:rPr>
          <w:color w:val="000000"/>
        </w:rPr>
      </w:pPr>
    </w:p>
    <w:p>
      <w:pPr>
        <w:jc w:val="center"/>
        <w:rPr>
          <w:color w:val="auto"/>
        </w:rPr>
      </w:pPr>
    </w:p>
    <w:p>
      <w:pPr>
        <w:jc w:val="center"/>
        <w:rPr>
          <w:color w:val="auto"/>
        </w:rPr>
      </w:pPr>
      <w:r>
        <w:rPr>
          <w:color w:val="auto"/>
        </w:rPr>
        <w:drawing>
          <wp:inline distT="0" distB="0" distL="0" distR="0">
            <wp:extent cx="3098165" cy="586740"/>
            <wp:effectExtent l="19050" t="0" r="0" b="0"/>
            <wp:docPr id="3"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广东财经大学新校名和校徽PSD源文件"/>
                    <pic:cNvPicPr>
                      <a:picLocks noChangeAspect="1" noChangeArrowheads="1"/>
                    </pic:cNvPicPr>
                  </pic:nvPicPr>
                  <pic:blipFill>
                    <a:blip r:embed="rId6"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auto"/>
        </w:rPr>
      </w:pPr>
    </w:p>
    <w:p>
      <w:pPr>
        <w:jc w:val="center"/>
        <w:rPr>
          <w:color w:val="auto"/>
        </w:rPr>
      </w:pPr>
    </w:p>
    <w:p>
      <w:pPr>
        <w:spacing w:line="1000" w:lineRule="exact"/>
        <w:jc w:val="center"/>
        <w:rPr>
          <w:rFonts w:ascii="黑体" w:hAnsi="宋体" w:eastAsia="黑体"/>
          <w:b/>
          <w:bCs/>
          <w:color w:val="auto"/>
          <w:spacing w:val="20"/>
          <w:kern w:val="10"/>
          <w:sz w:val="52"/>
          <w:szCs w:val="52"/>
        </w:rPr>
      </w:pPr>
      <w:r>
        <w:rPr>
          <w:rFonts w:hint="eastAsia" w:ascii="黑体" w:hAnsi="宋体" w:eastAsia="黑体"/>
          <w:b/>
          <w:bCs/>
          <w:color w:val="auto"/>
          <w:spacing w:val="20"/>
          <w:kern w:val="10"/>
          <w:sz w:val="52"/>
          <w:szCs w:val="52"/>
        </w:rPr>
        <w:t>广东财经大学佛山三水校区蓄水池清洗项目</w:t>
      </w:r>
    </w:p>
    <w:p>
      <w:pPr>
        <w:spacing w:line="1000" w:lineRule="exact"/>
        <w:jc w:val="center"/>
        <w:rPr>
          <w:rFonts w:ascii="黑体" w:eastAsia="黑体"/>
          <w:b/>
          <w:color w:val="auto"/>
          <w:sz w:val="72"/>
          <w:szCs w:val="72"/>
        </w:rPr>
      </w:pPr>
    </w:p>
    <w:p>
      <w:pPr>
        <w:spacing w:line="1000" w:lineRule="exact"/>
        <w:jc w:val="center"/>
        <w:rPr>
          <w:rFonts w:ascii="黑体" w:eastAsia="黑体"/>
          <w:b/>
          <w:color w:val="auto"/>
          <w:sz w:val="72"/>
          <w:szCs w:val="72"/>
        </w:rPr>
      </w:pPr>
      <w:r>
        <w:rPr>
          <w:rFonts w:hint="eastAsia" w:ascii="黑体" w:eastAsia="黑体"/>
          <w:b/>
          <w:color w:val="auto"/>
          <w:sz w:val="72"/>
          <w:szCs w:val="72"/>
        </w:rPr>
        <w:t>需</w:t>
      </w:r>
    </w:p>
    <w:p>
      <w:pPr>
        <w:spacing w:line="1000" w:lineRule="exact"/>
        <w:jc w:val="center"/>
        <w:rPr>
          <w:rFonts w:ascii="黑体" w:eastAsia="黑体"/>
          <w:b/>
          <w:color w:val="auto"/>
          <w:sz w:val="72"/>
          <w:szCs w:val="72"/>
        </w:rPr>
      </w:pPr>
      <w:r>
        <w:rPr>
          <w:rFonts w:hint="eastAsia" w:ascii="黑体" w:eastAsia="黑体"/>
          <w:b/>
          <w:color w:val="auto"/>
          <w:sz w:val="72"/>
          <w:szCs w:val="72"/>
        </w:rPr>
        <w:t>求</w:t>
      </w:r>
    </w:p>
    <w:p>
      <w:pPr>
        <w:spacing w:line="1000" w:lineRule="exact"/>
        <w:jc w:val="center"/>
        <w:rPr>
          <w:rFonts w:ascii="黑体" w:eastAsia="黑体"/>
          <w:b/>
          <w:color w:val="auto"/>
          <w:sz w:val="72"/>
          <w:szCs w:val="72"/>
        </w:rPr>
      </w:pPr>
      <w:r>
        <w:rPr>
          <w:rFonts w:hint="eastAsia" w:ascii="黑体" w:eastAsia="黑体"/>
          <w:b/>
          <w:color w:val="auto"/>
          <w:sz w:val="72"/>
          <w:szCs w:val="72"/>
        </w:rPr>
        <w:t>书</w:t>
      </w:r>
    </w:p>
    <w:p>
      <w:pPr>
        <w:spacing w:line="1000" w:lineRule="exact"/>
        <w:jc w:val="center"/>
        <w:rPr>
          <w:rFonts w:ascii="黑体" w:eastAsia="黑体"/>
          <w:b/>
          <w:color w:val="auto"/>
          <w:sz w:val="72"/>
          <w:szCs w:val="72"/>
        </w:rPr>
      </w:pPr>
    </w:p>
    <w:p>
      <w:pPr>
        <w:rPr>
          <w:color w:val="auto"/>
        </w:rPr>
      </w:pPr>
    </w:p>
    <w:p>
      <w:pPr>
        <w:rPr>
          <w:color w:val="auto"/>
        </w:rPr>
      </w:pPr>
    </w:p>
    <w:p>
      <w:pPr>
        <w:rPr>
          <w:color w:val="auto"/>
        </w:rPr>
      </w:pPr>
    </w:p>
    <w:p>
      <w:pPr>
        <w:pStyle w:val="3"/>
        <w:spacing w:line="360" w:lineRule="auto"/>
        <w:ind w:left="0" w:leftChars="0"/>
        <w:jc w:val="center"/>
        <w:rPr>
          <w:rFonts w:ascii="宋体" w:hAnsi="宋体"/>
          <w:color w:val="auto"/>
          <w:sz w:val="32"/>
          <w:szCs w:val="32"/>
        </w:rPr>
      </w:pPr>
      <w:r>
        <w:rPr>
          <w:rFonts w:hint="eastAsia" w:ascii="宋体" w:hAnsi="宋体"/>
          <w:color w:val="auto"/>
          <w:sz w:val="32"/>
          <w:szCs w:val="32"/>
        </w:rPr>
        <w:t>佛山三水校区后勤办维修中心 编制</w:t>
      </w:r>
    </w:p>
    <w:p>
      <w:pPr>
        <w:adjustRightInd w:val="0"/>
        <w:snapToGrid w:val="0"/>
        <w:spacing w:line="500" w:lineRule="exact"/>
        <w:jc w:val="center"/>
        <w:rPr>
          <w:color w:val="auto"/>
          <w:sz w:val="32"/>
          <w:szCs w:val="23"/>
        </w:rPr>
      </w:pPr>
      <w:r>
        <w:rPr>
          <w:rFonts w:hint="eastAsia" w:ascii="宋体" w:hAnsi="宋体"/>
          <w:color w:val="auto"/>
          <w:sz w:val="32"/>
          <w:szCs w:val="32"/>
        </w:rPr>
        <w:t>2019</w:t>
      </w:r>
      <w:r>
        <w:rPr>
          <w:rFonts w:ascii="宋体" w:hAnsi="宋体"/>
          <w:color w:val="auto"/>
          <w:sz w:val="32"/>
          <w:szCs w:val="32"/>
        </w:rPr>
        <w:t>年</w:t>
      </w:r>
      <w:r>
        <w:rPr>
          <w:rFonts w:hint="eastAsia" w:ascii="宋体" w:hAnsi="宋体"/>
          <w:color w:val="auto"/>
          <w:sz w:val="32"/>
          <w:szCs w:val="32"/>
        </w:rPr>
        <w:t>12</w:t>
      </w:r>
      <w:r>
        <w:rPr>
          <w:rFonts w:ascii="宋体" w:hAnsi="宋体"/>
          <w:color w:val="auto"/>
          <w:sz w:val="32"/>
          <w:szCs w:val="32"/>
        </w:rPr>
        <w:t>月</w:t>
      </w:r>
      <w:r>
        <w:rPr>
          <w:rFonts w:hint="eastAsia" w:ascii="宋体" w:hAnsi="宋体"/>
          <w:color w:val="auto"/>
          <w:sz w:val="32"/>
          <w:szCs w:val="32"/>
        </w:rPr>
        <w:t xml:space="preserve"> </w:t>
      </w:r>
      <w:r>
        <w:rPr>
          <w:rFonts w:hint="eastAsia" w:ascii="宋体" w:hAnsi="宋体"/>
          <w:color w:val="auto"/>
          <w:sz w:val="32"/>
          <w:szCs w:val="32"/>
          <w:lang w:val="en-US" w:eastAsia="zh-CN"/>
        </w:rPr>
        <w:t>30</w:t>
      </w:r>
      <w:r>
        <w:rPr>
          <w:rFonts w:hint="eastAsia" w:ascii="宋体" w:hAnsi="宋体"/>
          <w:color w:val="auto"/>
          <w:sz w:val="32"/>
          <w:szCs w:val="32"/>
        </w:rPr>
        <w:t xml:space="preserve"> 日  发布</w:t>
      </w:r>
      <w:bookmarkStart w:id="6" w:name="_GoBack"/>
      <w:bookmarkEnd w:id="6"/>
      <w:r>
        <w:rPr>
          <w:rFonts w:ascii="宋体" w:hAnsi="宋体"/>
          <w:color w:val="auto"/>
          <w:sz w:val="32"/>
          <w:szCs w:val="32"/>
        </w:rPr>
        <w:br w:type="column"/>
      </w:r>
      <w:bookmarkStart w:id="0" w:name="_Toc280272729"/>
      <w:bookmarkStart w:id="1" w:name="_Toc519857210"/>
      <w:bookmarkStart w:id="2" w:name="_Toc10691"/>
      <w:bookmarkStart w:id="3" w:name="_Toc298325850"/>
      <w:bookmarkStart w:id="4" w:name="OLE_LINK44"/>
      <w:bookmarkStart w:id="5" w:name="_Toc519857213"/>
    </w:p>
    <w:p>
      <w:pPr>
        <w:pStyle w:val="2"/>
        <w:jc w:val="center"/>
        <w:rPr>
          <w:color w:val="auto"/>
          <w:sz w:val="23"/>
          <w:szCs w:val="23"/>
        </w:rPr>
      </w:pPr>
      <w:r>
        <w:rPr>
          <w:rFonts w:hint="eastAsia"/>
          <w:color w:val="auto"/>
          <w:sz w:val="32"/>
          <w:szCs w:val="23"/>
        </w:rPr>
        <w:t>项目内容及需求</w:t>
      </w:r>
      <w:bookmarkEnd w:id="0"/>
      <w:bookmarkEnd w:id="1"/>
      <w:bookmarkEnd w:id="2"/>
    </w:p>
    <w:p>
      <w:pPr>
        <w:spacing w:line="360" w:lineRule="auto"/>
        <w:ind w:firstLine="482" w:firstLineChars="200"/>
        <w:rPr>
          <w:rFonts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1.项目名称</w:t>
      </w:r>
    </w:p>
    <w:p>
      <w:pPr>
        <w:spacing w:line="360" w:lineRule="auto"/>
        <w:ind w:firstLine="420" w:firstLineChars="200"/>
        <w:rPr>
          <w:rFonts w:asciiTheme="minorEastAsia" w:hAnsiTheme="minorEastAsia" w:eastAsiaTheme="minorEastAsia"/>
          <w:color w:val="auto"/>
          <w:szCs w:val="21"/>
          <w:u w:val="single"/>
        </w:rPr>
      </w:pPr>
      <w:r>
        <w:rPr>
          <w:rFonts w:hint="eastAsia" w:cs="仿宋_GB2312" w:asciiTheme="minorEastAsia" w:hAnsiTheme="minorEastAsia" w:eastAsiaTheme="minorEastAsia"/>
          <w:color w:val="auto"/>
          <w:szCs w:val="21"/>
          <w:u w:val="single"/>
        </w:rPr>
        <w:t>广东财经大学佛山三水校区蓄水池清洗项目</w:t>
      </w:r>
    </w:p>
    <w:p>
      <w:pPr>
        <w:spacing w:line="360" w:lineRule="auto"/>
        <w:ind w:firstLine="482" w:firstLineChars="2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2.项目预算</w:t>
      </w:r>
    </w:p>
    <w:p>
      <w:pPr>
        <w:spacing w:line="360" w:lineRule="auto"/>
        <w:ind w:firstLine="420" w:firstLineChars="20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投标最高限价人民币60000元，要求采购人在报价时不得超出项目预算限价，否则视为无效投标。</w:t>
      </w:r>
    </w:p>
    <w:p>
      <w:pPr>
        <w:spacing w:line="360" w:lineRule="auto"/>
        <w:ind w:firstLine="482" w:firstLineChars="200"/>
        <w:rPr>
          <w:rFonts w:asciiTheme="minorEastAsia" w:hAnsiTheme="minorEastAsia" w:eastAsiaTheme="minorEastAsia"/>
          <w:color w:val="auto"/>
          <w:szCs w:val="21"/>
        </w:rPr>
      </w:pPr>
      <w:r>
        <w:rPr>
          <w:rFonts w:hint="eastAsia" w:cs="仿宋_GB2312" w:asciiTheme="minorEastAsia" w:hAnsiTheme="minorEastAsia" w:eastAsiaTheme="minorEastAsia"/>
          <w:b/>
          <w:bCs/>
          <w:color w:val="auto"/>
          <w:sz w:val="24"/>
        </w:rPr>
        <w:t>3.服务地点：</w:t>
      </w:r>
      <w:r>
        <w:rPr>
          <w:rFonts w:hint="eastAsia" w:cs="仿宋_GB2312" w:asciiTheme="minorEastAsia" w:hAnsiTheme="minorEastAsia" w:eastAsiaTheme="minorEastAsia"/>
          <w:color w:val="auto"/>
          <w:szCs w:val="21"/>
          <w:u w:val="single"/>
        </w:rPr>
        <w:t>广东财经大学佛山三水校区</w:t>
      </w:r>
    </w:p>
    <w:p>
      <w:pPr>
        <w:spacing w:line="360" w:lineRule="auto"/>
        <w:ind w:firstLine="482" w:firstLineChars="2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4.服务期限：</w:t>
      </w:r>
    </w:p>
    <w:p>
      <w:pPr>
        <w:spacing w:line="360" w:lineRule="auto"/>
        <w:ind w:firstLine="420" w:firstLineChars="200"/>
        <w:rPr>
          <w:rFonts w:cs="仿宋_GB2312" w:asciiTheme="minorEastAsia" w:hAnsiTheme="minorEastAsia" w:eastAsiaTheme="minorEastAsia"/>
          <w:color w:val="auto"/>
          <w:szCs w:val="21"/>
          <w:u w:val="single"/>
        </w:rPr>
      </w:pPr>
      <w:r>
        <w:rPr>
          <w:rFonts w:cs="仿宋_GB2312" w:asciiTheme="minorEastAsia" w:hAnsiTheme="minorEastAsia" w:eastAsiaTheme="minorEastAsia"/>
          <w:color w:val="auto"/>
          <w:szCs w:val="21"/>
          <w:u w:val="single"/>
        </w:rPr>
        <w:t>20</w:t>
      </w:r>
      <w:r>
        <w:rPr>
          <w:rFonts w:hint="eastAsia" w:cs="仿宋_GB2312" w:asciiTheme="minorEastAsia" w:hAnsiTheme="minorEastAsia" w:eastAsiaTheme="minorEastAsia"/>
          <w:color w:val="auto"/>
          <w:szCs w:val="21"/>
          <w:u w:val="single"/>
        </w:rPr>
        <w:t>20年</w:t>
      </w:r>
      <w:r>
        <w:rPr>
          <w:rFonts w:cs="仿宋_GB2312" w:asciiTheme="minorEastAsia" w:hAnsiTheme="minorEastAsia" w:eastAsiaTheme="minorEastAsia"/>
          <w:color w:val="auto"/>
          <w:szCs w:val="21"/>
          <w:u w:val="single"/>
        </w:rPr>
        <w:t>1</w:t>
      </w:r>
      <w:r>
        <w:rPr>
          <w:rFonts w:hint="eastAsia" w:cs="仿宋_GB2312" w:asciiTheme="minorEastAsia" w:hAnsiTheme="minorEastAsia" w:eastAsiaTheme="minorEastAsia"/>
          <w:color w:val="auto"/>
          <w:szCs w:val="21"/>
          <w:u w:val="single"/>
        </w:rPr>
        <w:t>月</w:t>
      </w:r>
      <w:r>
        <w:rPr>
          <w:rFonts w:cs="仿宋_GB2312" w:asciiTheme="minorEastAsia" w:hAnsiTheme="minorEastAsia" w:eastAsiaTheme="minorEastAsia"/>
          <w:color w:val="auto"/>
          <w:szCs w:val="21"/>
          <w:u w:val="single"/>
        </w:rPr>
        <w:t>1</w:t>
      </w:r>
      <w:r>
        <w:rPr>
          <w:rFonts w:hint="eastAsia" w:cs="仿宋_GB2312" w:asciiTheme="minorEastAsia" w:hAnsiTheme="minorEastAsia" w:eastAsiaTheme="minorEastAsia"/>
          <w:color w:val="auto"/>
          <w:szCs w:val="21"/>
          <w:u w:val="single"/>
        </w:rPr>
        <w:t>日至</w:t>
      </w:r>
      <w:r>
        <w:rPr>
          <w:rFonts w:cs="仿宋_GB2312" w:asciiTheme="minorEastAsia" w:hAnsiTheme="minorEastAsia" w:eastAsiaTheme="minorEastAsia"/>
          <w:color w:val="auto"/>
          <w:szCs w:val="21"/>
          <w:u w:val="single"/>
        </w:rPr>
        <w:t>20</w:t>
      </w:r>
      <w:r>
        <w:rPr>
          <w:rFonts w:hint="eastAsia" w:cs="仿宋_GB2312" w:asciiTheme="minorEastAsia" w:hAnsiTheme="minorEastAsia" w:eastAsiaTheme="minorEastAsia"/>
          <w:color w:val="auto"/>
          <w:szCs w:val="21"/>
          <w:u w:val="single"/>
        </w:rPr>
        <w:t>21年</w:t>
      </w:r>
      <w:r>
        <w:rPr>
          <w:rFonts w:cs="仿宋_GB2312" w:asciiTheme="minorEastAsia" w:hAnsiTheme="minorEastAsia" w:eastAsiaTheme="minorEastAsia"/>
          <w:color w:val="auto"/>
          <w:szCs w:val="21"/>
          <w:u w:val="single"/>
        </w:rPr>
        <w:t>12</w:t>
      </w:r>
      <w:r>
        <w:rPr>
          <w:rFonts w:hint="eastAsia" w:cs="仿宋_GB2312" w:asciiTheme="minorEastAsia" w:hAnsiTheme="minorEastAsia" w:eastAsiaTheme="minorEastAsia"/>
          <w:color w:val="auto"/>
          <w:szCs w:val="21"/>
          <w:u w:val="single"/>
        </w:rPr>
        <w:t>月</w:t>
      </w:r>
      <w:r>
        <w:rPr>
          <w:rFonts w:cs="仿宋_GB2312" w:asciiTheme="minorEastAsia" w:hAnsiTheme="minorEastAsia" w:eastAsiaTheme="minorEastAsia"/>
          <w:color w:val="auto"/>
          <w:szCs w:val="21"/>
          <w:u w:val="single"/>
        </w:rPr>
        <w:t>31</w:t>
      </w:r>
      <w:r>
        <w:rPr>
          <w:rFonts w:hint="eastAsia" w:cs="仿宋_GB2312" w:asciiTheme="minorEastAsia" w:hAnsiTheme="minorEastAsia" w:eastAsiaTheme="minorEastAsia"/>
          <w:color w:val="auto"/>
          <w:szCs w:val="21"/>
          <w:u w:val="single"/>
        </w:rPr>
        <w:t>日（服务期二年）</w:t>
      </w:r>
    </w:p>
    <w:p>
      <w:pPr>
        <w:spacing w:line="360" w:lineRule="auto"/>
        <w:ind w:firstLine="482" w:firstLineChars="2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5.投标报价</w:t>
      </w:r>
    </w:p>
    <w:p>
      <w:pPr>
        <w:spacing w:line="360" w:lineRule="auto"/>
        <w:ind w:firstLine="420" w:firstLineChars="20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5.1本项目以人民币报价，实行总价包干，费用已包含清洗过程中产生的消毒液、清洗工具、水质检测费、外出劳务费、交通差旅、餐费、税金等相关费用。评标原则：符合资质要求的</w:t>
      </w:r>
      <w:r>
        <w:rPr>
          <w:rFonts w:hint="eastAsia" w:cs="仿宋_GB2312" w:asciiTheme="minorEastAsia" w:hAnsiTheme="minorEastAsia" w:eastAsiaTheme="minorEastAsia"/>
          <w:color w:val="auto"/>
          <w:szCs w:val="21"/>
          <w:u w:val="single"/>
        </w:rPr>
        <w:t>最低有效报价</w:t>
      </w:r>
      <w:r>
        <w:rPr>
          <w:rFonts w:hint="eastAsia" w:cs="仿宋_GB2312" w:asciiTheme="minorEastAsia" w:hAnsiTheme="minorEastAsia" w:eastAsiaTheme="minorEastAsia"/>
          <w:color w:val="auto"/>
          <w:szCs w:val="21"/>
        </w:rPr>
        <w:t>者为中标人。</w:t>
      </w:r>
    </w:p>
    <w:p>
      <w:pPr>
        <w:spacing w:line="360" w:lineRule="auto"/>
        <w:ind w:firstLine="420" w:firstLineChars="20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5.2投标人必须对项目内所有的招标内容进行投标，不允许只对其中部分内容进行投标。</w:t>
      </w:r>
    </w:p>
    <w:p>
      <w:pPr>
        <w:spacing w:line="360" w:lineRule="auto"/>
        <w:ind w:firstLine="482" w:firstLineChars="2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6.项目内容</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6.1对行政楼、校区总水池、周转房等二次供水蓄水池（箱）（总体积约为1426.5立方米）进行4次清洗消毒（一年二次）；</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w:t>
      </w:r>
      <w:r>
        <w:rPr>
          <w:rFonts w:cs="仿宋_GB2312" w:asciiTheme="minorEastAsia" w:hAnsiTheme="minorEastAsia" w:eastAsiaTheme="minorEastAsia"/>
          <w:color w:val="auto"/>
          <w:szCs w:val="21"/>
        </w:rPr>
        <w:t>2</w:t>
      </w:r>
      <w:r>
        <w:rPr>
          <w:rFonts w:hint="eastAsia" w:cs="仿宋_GB2312" w:asciiTheme="minorEastAsia" w:hAnsiTheme="minorEastAsia" w:eastAsiaTheme="minorEastAsia"/>
          <w:color w:val="auto"/>
          <w:szCs w:val="21"/>
        </w:rPr>
        <w:t>每次清洗前张贴停水公告，水样采集及送检，水样检测合格后，公示检测报告；</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6.3水池（箱）阀门、水泵、液位控制器、三孔防污染措施等检查工作；</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6.4、提供相关记录台帐。</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6.5：佛山三水校区蓄水池分布情况表</w:t>
      </w:r>
    </w:p>
    <w:tbl>
      <w:tblPr>
        <w:tblStyle w:val="8"/>
        <w:tblW w:w="88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2835"/>
        <w:gridCol w:w="2596"/>
        <w:gridCol w:w="22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序号</w:t>
            </w:r>
          </w:p>
        </w:tc>
        <w:tc>
          <w:tcPr>
            <w:tcW w:w="2835"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水池位置</w:t>
            </w:r>
          </w:p>
        </w:tc>
        <w:tc>
          <w:tcPr>
            <w:tcW w:w="2596"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水池规格（M）</w:t>
            </w:r>
          </w:p>
        </w:tc>
        <w:tc>
          <w:tcPr>
            <w:tcW w:w="2225"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水池容量（M</w:t>
            </w:r>
            <w:r>
              <w:rPr>
                <w:rFonts w:hint="eastAsia" w:ascii="Batang" w:hAnsi="Batang" w:eastAsia="Batang" w:cs="仿宋_GB2312"/>
                <w:color w:val="auto"/>
                <w:kern w:val="0"/>
                <w:sz w:val="20"/>
                <w:szCs w:val="21"/>
              </w:rPr>
              <w:t>²</w:t>
            </w:r>
            <w:r>
              <w:rPr>
                <w:rFonts w:hint="eastAsia" w:cs="仿宋_GB2312" w:asciiTheme="minorEastAsia" w:hAnsiTheme="minorEastAsia" w:eastAsiaTheme="minorEastAsia"/>
                <w:color w:val="auto"/>
                <w:kern w:val="0"/>
                <w:sz w:val="2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1</w:t>
            </w:r>
          </w:p>
        </w:tc>
        <w:tc>
          <w:tcPr>
            <w:tcW w:w="2835" w:type="dxa"/>
          </w:tcPr>
          <w:p>
            <w:pPr>
              <w:spacing w:line="360" w:lineRule="auto"/>
              <w:rPr>
                <w:rFonts w:hint="eastAsia" w:cs="仿宋_GB2312" w:asciiTheme="minorEastAsia" w:hAnsiTheme="minorEastAsia" w:eastAsiaTheme="minorEastAsia"/>
                <w:color w:val="auto"/>
                <w:kern w:val="0"/>
                <w:sz w:val="20"/>
                <w:szCs w:val="21"/>
                <w:lang w:eastAsia="zh-CN"/>
              </w:rPr>
            </w:pPr>
            <w:r>
              <w:rPr>
                <w:rFonts w:hint="eastAsia" w:cs="仿宋_GB2312" w:asciiTheme="minorEastAsia" w:hAnsiTheme="minorEastAsia" w:eastAsiaTheme="minorEastAsia"/>
                <w:color w:val="auto"/>
                <w:kern w:val="0"/>
                <w:sz w:val="20"/>
                <w:szCs w:val="21"/>
              </w:rPr>
              <w:t>行政楼</w:t>
            </w:r>
          </w:p>
        </w:tc>
        <w:tc>
          <w:tcPr>
            <w:tcW w:w="2596"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3×4×2</w:t>
            </w:r>
          </w:p>
        </w:tc>
        <w:tc>
          <w:tcPr>
            <w:tcW w:w="2225"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2</w:t>
            </w:r>
          </w:p>
        </w:tc>
        <w:tc>
          <w:tcPr>
            <w:tcW w:w="2835"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校区总水池</w:t>
            </w:r>
          </w:p>
        </w:tc>
        <w:tc>
          <w:tcPr>
            <w:tcW w:w="2596"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20×16×4</w:t>
            </w:r>
          </w:p>
        </w:tc>
        <w:tc>
          <w:tcPr>
            <w:tcW w:w="2225"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1280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3</w:t>
            </w:r>
          </w:p>
        </w:tc>
        <w:tc>
          <w:tcPr>
            <w:tcW w:w="2835"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周转房</w:t>
            </w:r>
          </w:p>
        </w:tc>
        <w:tc>
          <w:tcPr>
            <w:tcW w:w="2596"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7×7×2.5</w:t>
            </w:r>
          </w:p>
        </w:tc>
        <w:tc>
          <w:tcPr>
            <w:tcW w:w="2225" w:type="dxa"/>
          </w:tcPr>
          <w:p>
            <w:pPr>
              <w:spacing w:line="360" w:lineRule="auto"/>
              <w:rPr>
                <w:rFonts w:cs="仿宋_GB2312" w:asciiTheme="minorEastAsia" w:hAnsiTheme="minorEastAsia" w:eastAsiaTheme="minorEastAsia"/>
                <w:color w:val="auto"/>
                <w:kern w:val="0"/>
                <w:sz w:val="20"/>
                <w:szCs w:val="21"/>
              </w:rPr>
            </w:pPr>
            <w:r>
              <w:rPr>
                <w:rFonts w:hint="eastAsia" w:cs="仿宋_GB2312" w:asciiTheme="minorEastAsia" w:hAnsiTheme="minorEastAsia" w:eastAsiaTheme="minorEastAsia"/>
                <w:color w:val="auto"/>
                <w:kern w:val="0"/>
                <w:sz w:val="20"/>
                <w:szCs w:val="21"/>
              </w:rPr>
              <w:t>122.5</w:t>
            </w:r>
          </w:p>
        </w:tc>
      </w:tr>
    </w:tbl>
    <w:p>
      <w:pPr>
        <w:spacing w:line="360" w:lineRule="auto"/>
        <w:ind w:firstLine="420" w:firstLineChars="200"/>
        <w:rPr>
          <w:rFonts w:cs="仿宋_GB2312" w:asciiTheme="minorEastAsia" w:hAnsiTheme="minorEastAsia" w:eastAsiaTheme="minorEastAsia"/>
          <w:color w:val="auto"/>
          <w:szCs w:val="21"/>
        </w:rPr>
      </w:pPr>
    </w:p>
    <w:p>
      <w:pPr>
        <w:spacing w:line="360" w:lineRule="auto"/>
        <w:ind w:firstLine="482" w:firstLineChars="2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7.服务要求</w:t>
      </w:r>
      <w:r>
        <w:rPr>
          <w:rFonts w:cs="仿宋_GB2312" w:asciiTheme="minorEastAsia" w:hAnsiTheme="minorEastAsia" w:eastAsiaTheme="minorEastAsia"/>
          <w:b/>
          <w:bCs/>
          <w:color w:val="auto"/>
          <w:sz w:val="24"/>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服务时间（2年）内为对行政楼、校区总水池、周转房等3个二次供水水池（箱）进行清洗消毒4次（每半年一次），须按上级防疫部门的二次供水蓄水池（箱）清洗技术规范要求进行清洗消毒，清洗消毒后水质达到国家饮用水卫生标准。</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7.1清洗消毒工作应严格按照国家规定的规范流程进行。</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7.2使用经检验部门检测，符合国家有关饮食卫生标准的消毒剂配制有效消毒液，对储水设施进行全面消毒，接触时间不低于</w:t>
      </w:r>
      <w:r>
        <w:rPr>
          <w:rFonts w:cs="仿宋_GB2312" w:asciiTheme="minorEastAsia" w:hAnsiTheme="minorEastAsia" w:eastAsiaTheme="minorEastAsia"/>
          <w:color w:val="auto"/>
          <w:szCs w:val="21"/>
        </w:rPr>
        <w:t>30</w:t>
      </w:r>
      <w:r>
        <w:rPr>
          <w:rFonts w:hint="eastAsia" w:cs="仿宋_GB2312" w:asciiTheme="minorEastAsia" w:hAnsiTheme="minorEastAsia" w:eastAsiaTheme="minorEastAsia"/>
          <w:color w:val="auto"/>
          <w:szCs w:val="21"/>
        </w:rPr>
        <w:t>分钟。</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7.3储水设施清洗消毒</w:t>
      </w:r>
      <w:r>
        <w:rPr>
          <w:rFonts w:cs="仿宋_GB2312" w:asciiTheme="minorEastAsia" w:hAnsiTheme="minorEastAsia" w:eastAsiaTheme="minorEastAsia"/>
          <w:color w:val="auto"/>
          <w:szCs w:val="21"/>
        </w:rPr>
        <w:t>4</w:t>
      </w:r>
      <w:r>
        <w:rPr>
          <w:rFonts w:hint="eastAsia" w:cs="仿宋_GB2312" w:asciiTheme="minorEastAsia" w:hAnsiTheme="minorEastAsia" w:eastAsiaTheme="minorEastAsia"/>
          <w:color w:val="auto"/>
          <w:szCs w:val="21"/>
        </w:rPr>
        <w:t>次以上，清洗消毒完毕后，将污水排净。</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7.4储水设施清洗消毒结束后，使其水质达到中华人民共和国自来水水质国家标准</w:t>
      </w:r>
      <w:r>
        <w:rPr>
          <w:rFonts w:cs="仿宋_GB2312" w:asciiTheme="minorEastAsia" w:hAnsiTheme="minorEastAsia" w:eastAsiaTheme="minorEastAsia"/>
          <w:color w:val="auto"/>
          <w:szCs w:val="21"/>
        </w:rPr>
        <w:t>GB57</w:t>
      </w:r>
      <w:r>
        <w:rPr>
          <w:rFonts w:hint="eastAsia" w:cs="仿宋_GB2312" w:asciiTheme="minorEastAsia" w:hAnsiTheme="minorEastAsia" w:eastAsiaTheme="minorEastAsia"/>
          <w:color w:val="auto"/>
          <w:szCs w:val="21"/>
        </w:rPr>
        <w:t>49─2006，并提供水质合格检测报告单。</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7.5清洗作业过程中不得损坏二次供水水池（箱）内的各种设施，如有损坏，照价赔偿；清洗后保证二次水箱可以正常使用；清洗过程中的一切安全责任由中标人承担。</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7.6清洗从业单位撤离现场前，应将设施现场清理干净，达到卫生要求，同时将储水设施密封盖、通气孔等部位密封严密，保证水质不受任何污染。</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7.7根据招标人要求，提供清洗消毒的产品合格证以及清洗消毒水池的相关记录台账。</w:t>
      </w:r>
      <w:r>
        <w:rPr>
          <w:rFonts w:cs="仿宋_GB2312" w:asciiTheme="minorEastAsia" w:hAnsiTheme="minorEastAsia" w:eastAsiaTheme="minorEastAsia"/>
          <w:color w:val="auto"/>
          <w:szCs w:val="21"/>
        </w:rPr>
        <w:t xml:space="preserve"> </w:t>
      </w:r>
    </w:p>
    <w:p>
      <w:pPr>
        <w:spacing w:line="360" w:lineRule="auto"/>
        <w:ind w:firstLine="482"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b/>
          <w:bCs/>
          <w:color w:val="auto"/>
          <w:sz w:val="24"/>
        </w:rPr>
        <w:t>8其他要求：</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8.1提供以下资质材料：</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8.1.1具备《政府采购法》第二十二条规定的条件；</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8.1.2具有独立承担民事责任能力的在中华人民共和国境内注册的法人，持有效的营业执照、税务登记证；</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8.1.3必须具有对公银行账户（投标时出具银行开户许可证）；</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8.1.4经营范围必须有生活清洗、消毒服务，</w:t>
      </w:r>
      <w:r>
        <w:rPr>
          <w:rFonts w:hint="eastAsia" w:cs="仿宋_GB2312" w:asciiTheme="minorEastAsia" w:hAnsiTheme="minorEastAsia" w:eastAsiaTheme="minorEastAsia"/>
          <w:color w:val="auto"/>
          <w:szCs w:val="21"/>
          <w:u w:val="single"/>
        </w:rPr>
        <w:t>提供国家认可的清洗水池的资质证明</w:t>
      </w:r>
      <w:r>
        <w:rPr>
          <w:rFonts w:hint="eastAsia" w:cs="仿宋_GB2312" w:asciiTheme="minorEastAsia" w:hAnsiTheme="minorEastAsia" w:eastAsiaTheme="minorEastAsia"/>
          <w:color w:val="auto"/>
          <w:szCs w:val="21"/>
        </w:rPr>
        <w:t>；</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8.1.5必须提供保洁工作人员的有效《健康证明》、《卫生知识培训证》和广东省内的《二次供水设施保洁上岗证》。</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8.2投标要求</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8.2.1报价以综合单价承包，按实际工作量计算为准（含服务项目发生的一切费用）。</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8.2.2投标人必须保证所提供全部资料的真实性，所有资格证明文件复印件必须注明“与原件一致”并加盖投标人公章；投标文件必须用</w:t>
      </w:r>
      <w:r>
        <w:rPr>
          <w:rFonts w:cs="仿宋_GB2312" w:asciiTheme="minorEastAsia" w:hAnsiTheme="minorEastAsia" w:eastAsiaTheme="minorEastAsia"/>
          <w:color w:val="auto"/>
          <w:szCs w:val="21"/>
        </w:rPr>
        <w:t>A4</w:t>
      </w:r>
      <w:r>
        <w:rPr>
          <w:rFonts w:hint="eastAsia" w:cs="仿宋_GB2312" w:asciiTheme="minorEastAsia" w:hAnsiTheme="minorEastAsia" w:eastAsiaTheme="minorEastAsia"/>
          <w:color w:val="auto"/>
          <w:szCs w:val="21"/>
        </w:rPr>
        <w:t>纸张打印成册，装袋密封，封口处加盖投标单位公章。投标资料不退还。投标人自行承担所有参与投标的有关费用。</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8.3评标原则：符合资质要求的最低有效报价者为中标人。</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8.4付款方式：</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8.4.1甲方按总价包干向乙方支付费用。</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8.4.2服务费用按次支付。甲方在收到有关政府部门出具的水质检验合格报告书的15个工作日内向乙方支付该次服务费用。</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8.4.3所有甲方应支付的款项，乙方须出具正规发票，否则甲方有权拒付并且不承担违约责任。</w:t>
      </w:r>
      <w:r>
        <w:rPr>
          <w:rFonts w:cs="仿宋_GB2312" w:asciiTheme="minorEastAsia" w:hAnsiTheme="minorEastAsia" w:eastAsiaTheme="minorEastAsia"/>
          <w:color w:val="auto"/>
          <w:szCs w:val="21"/>
        </w:rPr>
        <w:t>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8.5违约责任</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8.5.1清洗工期每拖延一天，扣合同金额的</w:t>
      </w:r>
      <w:r>
        <w:rPr>
          <w:rFonts w:cs="仿宋_GB2312" w:asciiTheme="minorEastAsia" w:hAnsiTheme="minorEastAsia" w:eastAsiaTheme="minorEastAsia"/>
          <w:color w:val="auto"/>
          <w:szCs w:val="21"/>
        </w:rPr>
        <w:t>1%</w:t>
      </w:r>
      <w:r>
        <w:rPr>
          <w:rFonts w:hint="eastAsia" w:cs="仿宋_GB2312" w:asciiTheme="minorEastAsia" w:hAnsiTheme="minorEastAsia" w:eastAsiaTheme="minorEastAsia"/>
          <w:color w:val="auto"/>
          <w:szCs w:val="21"/>
        </w:rPr>
        <w:t>；</w:t>
      </w:r>
      <w:r>
        <w:rPr>
          <w:rFonts w:cs="仿宋_GB2312" w:asciiTheme="minorEastAsia" w:hAnsiTheme="minorEastAsia" w:eastAsiaTheme="minorEastAsia"/>
          <w:color w:val="auto"/>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8.5.2工程质量未能达到要求，根据检查验收情况，招标人向中标人每发出一张整改单，扣合同金额的</w:t>
      </w:r>
      <w:r>
        <w:rPr>
          <w:rFonts w:cs="仿宋_GB2312" w:asciiTheme="minorEastAsia" w:hAnsiTheme="minorEastAsia" w:eastAsiaTheme="minorEastAsia"/>
          <w:szCs w:val="21"/>
        </w:rPr>
        <w:t>1%</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8.5.3清洗消毒后水质达不到广州市或佛山市卫生监督所二次供水水质标准或定期消毒后经任意时间抽检水质不合格的，中标人需重新清洗或消毒，直至检验合格，由此而产生的费用、行政罚款等所有支出一律由中标人承担。由于水质不合格引发中毒事故的，所有责任和处理中毒事件所发生的费用均由中标人承担。</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p>
    <w:bookmarkEnd w:id="3"/>
    <w:bookmarkEnd w:id="4"/>
    <w:bookmarkEnd w:id="5"/>
    <w:p>
      <w:pPr>
        <w:pStyle w:val="16"/>
        <w:ind w:firstLine="400"/>
      </w:pPr>
    </w:p>
    <w:p/>
    <w:sectPr>
      <w:footerReference r:id="rId4" w:type="first"/>
      <w:headerReference r:id="rId3"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u w:val="single"/>
      </w:rPr>
    </w:pPr>
  </w:p>
  <w:p>
    <w:pPr>
      <w:pStyle w:val="5"/>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5E81"/>
    <w:rsid w:val="000D3581"/>
    <w:rsid w:val="000E3145"/>
    <w:rsid w:val="002F6BFF"/>
    <w:rsid w:val="00315DE7"/>
    <w:rsid w:val="004422B3"/>
    <w:rsid w:val="004F08DE"/>
    <w:rsid w:val="00515CF8"/>
    <w:rsid w:val="005500FF"/>
    <w:rsid w:val="005A76C7"/>
    <w:rsid w:val="005B0372"/>
    <w:rsid w:val="00694A22"/>
    <w:rsid w:val="006C78EF"/>
    <w:rsid w:val="006E0A96"/>
    <w:rsid w:val="00715354"/>
    <w:rsid w:val="00731A6D"/>
    <w:rsid w:val="007F3E9D"/>
    <w:rsid w:val="008F3106"/>
    <w:rsid w:val="00B131F2"/>
    <w:rsid w:val="00B504E6"/>
    <w:rsid w:val="00B85E81"/>
    <w:rsid w:val="00C41B5A"/>
    <w:rsid w:val="00CF255C"/>
    <w:rsid w:val="00D31C0D"/>
    <w:rsid w:val="00E05FE7"/>
    <w:rsid w:val="00E319C4"/>
    <w:rsid w:val="00E60AFC"/>
    <w:rsid w:val="00E64068"/>
    <w:rsid w:val="00FC4178"/>
    <w:rsid w:val="44290C6E"/>
    <w:rsid w:val="71E5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qFormat/>
    <w:uiPriority w:val="0"/>
    <w:pPr>
      <w:ind w:left="100" w:leftChars="2500"/>
    </w:pPr>
    <w:rPr>
      <w:sz w:val="28"/>
    </w:rPr>
  </w:style>
  <w:style w:type="paragraph" w:styleId="4">
    <w:name w:val="Balloon Text"/>
    <w:basedOn w:val="1"/>
    <w:link w:val="10"/>
    <w:semiHidden/>
    <w:unhideWhenUsed/>
    <w:qFormat/>
    <w:uiPriority w:val="99"/>
    <w:rPr>
      <w:rFonts w:asciiTheme="minorHAnsi" w:hAnsiTheme="minorHAnsi" w:eastAsiaTheme="minorEastAsia" w:cstheme="minorBidi"/>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批注框文本 Char"/>
    <w:basedOn w:val="9"/>
    <w:link w:val="4"/>
    <w:semiHidden/>
    <w:qFormat/>
    <w:uiPriority w:val="99"/>
    <w:rPr>
      <w:sz w:val="18"/>
      <w:szCs w:val="18"/>
    </w:rPr>
  </w:style>
  <w:style w:type="character" w:customStyle="1" w:styleId="11">
    <w:name w:val="标题 1 Char"/>
    <w:basedOn w:val="9"/>
    <w:link w:val="2"/>
    <w:qFormat/>
    <w:uiPriority w:val="0"/>
    <w:rPr>
      <w:rFonts w:ascii="Times New Roman" w:hAnsi="Times New Roman" w:eastAsia="宋体" w:cs="Times New Roman"/>
      <w:b/>
      <w:bCs/>
      <w:kern w:val="44"/>
      <w:sz w:val="44"/>
      <w:szCs w:val="44"/>
    </w:rPr>
  </w:style>
  <w:style w:type="character" w:customStyle="1" w:styleId="12">
    <w:name w:val="日期 Char"/>
    <w:basedOn w:val="9"/>
    <w:link w:val="3"/>
    <w:semiHidden/>
    <w:qFormat/>
    <w:uiPriority w:val="99"/>
    <w:rPr>
      <w:rFonts w:ascii="Times New Roman" w:hAnsi="Times New Roman" w:eastAsia="宋体" w:cs="Times New Roman"/>
      <w:szCs w:val="24"/>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页眉 Char"/>
    <w:basedOn w:val="9"/>
    <w:link w:val="6"/>
    <w:qFormat/>
    <w:uiPriority w:val="0"/>
    <w:rPr>
      <w:rFonts w:ascii="Times New Roman" w:hAnsi="Times New Roman" w:eastAsia="宋体" w:cs="Times New Roman"/>
      <w:sz w:val="18"/>
      <w:szCs w:val="18"/>
    </w:rPr>
  </w:style>
  <w:style w:type="character" w:customStyle="1" w:styleId="15">
    <w:name w:val="日期 Char1"/>
    <w:basedOn w:val="9"/>
    <w:link w:val="3"/>
    <w:qFormat/>
    <w:uiPriority w:val="0"/>
    <w:rPr>
      <w:rFonts w:ascii="Times New Roman" w:hAnsi="Times New Roman" w:eastAsia="宋体" w:cs="Times New Roman"/>
      <w:sz w:val="28"/>
      <w:szCs w:val="24"/>
    </w:rPr>
  </w:style>
  <w:style w:type="paragraph" w:customStyle="1" w:styleId="16">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282</Words>
  <Characters>1614</Characters>
  <Lines>13</Lines>
  <Paragraphs>3</Paragraphs>
  <TotalTime>11</TotalTime>
  <ScaleCrop>false</ScaleCrop>
  <LinksUpToDate>false</LinksUpToDate>
  <CharactersWithSpaces>1893</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2019-12-17T08:23:00Z</dcterms:created>
  <dc:creator>司徒毓英</dc:creator>
  <cp:lastModifiedBy>沙汉英</cp:lastModifiedBy>
  <cp:lastPrinted>2019-12-17T08:08:00Z</cp:lastPrinted>
  <dcterms:modified xsi:type="dcterms:W3CDTF">2019-12-30T02:56:06Z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