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78F8">
      <w:pPr>
        <w:widowControl w:val="0"/>
        <w:snapToGrid w:val="0"/>
        <w:spacing w:line="460" w:lineRule="exact"/>
        <w:jc w:val="center"/>
        <w:rPr>
          <w:rFonts w:ascii="宋体" w:hAnsi="宋体"/>
          <w:b/>
          <w:sz w:val="44"/>
          <w:szCs w:val="44"/>
        </w:rPr>
      </w:pPr>
    </w:p>
    <w:p w14:paraId="06961405">
      <w:pPr>
        <w:widowControl w:val="0"/>
        <w:spacing w:line="720" w:lineRule="exact"/>
        <w:jc w:val="center"/>
        <w:textAlignment w:val="auto"/>
        <w:rPr>
          <w:rFonts w:hint="eastAsia" w:ascii="方正小标宋简体" w:hAnsi="宋体" w:eastAsia="方正小标宋简体"/>
          <w:b/>
          <w:bCs/>
          <w:kern w:val="2"/>
          <w:sz w:val="44"/>
          <w:szCs w:val="44"/>
          <w:lang w:eastAsia="zh-CN"/>
        </w:rPr>
      </w:pPr>
      <w:r>
        <w:rPr>
          <w:rFonts w:hint="eastAsia" w:ascii="方正小标宋简体" w:hAnsi="宋体" w:eastAsia="方正小标宋简体"/>
          <w:b/>
          <w:bCs/>
          <w:kern w:val="2"/>
          <w:sz w:val="44"/>
          <w:szCs w:val="44"/>
        </w:rPr>
        <w:t>广东财经大学</w:t>
      </w:r>
      <w:r>
        <w:rPr>
          <w:rFonts w:hint="eastAsia" w:ascii="方正小标宋简体" w:hAnsi="宋体" w:eastAsia="方正小标宋简体"/>
          <w:b/>
          <w:bCs/>
          <w:kern w:val="2"/>
          <w:sz w:val="44"/>
          <w:szCs w:val="44"/>
          <w:lang w:val="en-US" w:eastAsia="zh-CN"/>
        </w:rPr>
        <w:t>佛山</w:t>
      </w:r>
      <w:r>
        <w:rPr>
          <w:rFonts w:hint="eastAsia" w:ascii="方正小标宋简体" w:hAnsi="宋体" w:eastAsia="方正小标宋简体"/>
          <w:b/>
          <w:bCs/>
          <w:kern w:val="2"/>
          <w:sz w:val="44"/>
          <w:szCs w:val="44"/>
        </w:rPr>
        <w:t>校区202</w:t>
      </w:r>
      <w:r>
        <w:rPr>
          <w:rFonts w:hint="eastAsia" w:ascii="方正小标宋简体" w:hAnsi="宋体" w:eastAsia="方正小标宋简体"/>
          <w:b/>
          <w:bCs/>
          <w:kern w:val="2"/>
          <w:sz w:val="44"/>
          <w:szCs w:val="44"/>
          <w:lang w:val="en-US" w:eastAsia="zh-CN"/>
        </w:rPr>
        <w:t>5</w:t>
      </w:r>
      <w:r>
        <w:rPr>
          <w:rFonts w:hint="eastAsia" w:ascii="方正小标宋简体" w:hAnsi="宋体" w:eastAsia="方正小标宋简体"/>
          <w:b/>
          <w:bCs/>
          <w:kern w:val="2"/>
          <w:sz w:val="44"/>
          <w:szCs w:val="44"/>
        </w:rPr>
        <w:t>-202</w:t>
      </w:r>
      <w:r>
        <w:rPr>
          <w:rFonts w:hint="eastAsia" w:ascii="方正小标宋简体" w:hAnsi="宋体" w:eastAsia="方正小标宋简体"/>
          <w:b/>
          <w:bCs/>
          <w:kern w:val="2"/>
          <w:sz w:val="44"/>
          <w:szCs w:val="44"/>
          <w:lang w:val="en-US" w:eastAsia="zh-CN"/>
        </w:rPr>
        <w:t>7</w:t>
      </w:r>
      <w:r>
        <w:rPr>
          <w:rFonts w:hint="eastAsia" w:ascii="方正小标宋简体" w:hAnsi="宋体" w:eastAsia="方正小标宋简体"/>
          <w:b/>
          <w:bCs/>
          <w:kern w:val="2"/>
          <w:sz w:val="44"/>
          <w:szCs w:val="44"/>
        </w:rPr>
        <w:t>年小额工程设计服务项目询价文件</w:t>
      </w:r>
    </w:p>
    <w:p w14:paraId="5F53C825">
      <w:pPr>
        <w:widowControl w:val="0"/>
        <w:snapToGrid w:val="0"/>
        <w:spacing w:line="360" w:lineRule="auto"/>
        <w:ind w:firstLine="480" w:firstLineChars="200"/>
        <w:rPr>
          <w:rFonts w:ascii="仿宋" w:hAnsi="仿宋" w:eastAsia="仿宋"/>
          <w:sz w:val="24"/>
          <w:szCs w:val="24"/>
          <w:shd w:val="clear" w:color="auto" w:fill="FFFFFF"/>
        </w:rPr>
      </w:pPr>
    </w:p>
    <w:p w14:paraId="211035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根据广东财经大学采购相关规定及工作需要，我校拟通过询价采购方式选定一家供应商负责提供广东财经大学佛山校区2025-2027年小额工程设计服务，欢迎符合资格条件的供应商前来报价。具体询价内容如下： </w:t>
      </w:r>
    </w:p>
    <w:p w14:paraId="6AC541D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一、项目编号：</w:t>
      </w:r>
      <w:r>
        <w:rPr>
          <w:rFonts w:hint="eastAsia" w:eastAsia="宋体" w:cs="Times New Roman"/>
          <w:b w:val="0"/>
          <w:bCs w:val="0"/>
          <w:sz w:val="28"/>
          <w:szCs w:val="28"/>
          <w:lang w:val="en-US" w:eastAsia="zh-CN"/>
        </w:rPr>
        <w:t>FSGW2025001</w:t>
      </w:r>
    </w:p>
    <w:p w14:paraId="319BEEE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二、</w:t>
      </w:r>
      <w:r>
        <w:rPr>
          <w:rFonts w:hint="eastAsia" w:ascii="Times New Roman" w:hAnsi="Times New Roman" w:eastAsia="宋体" w:cs="Times New Roman"/>
          <w:b/>
          <w:bCs/>
          <w:sz w:val="28"/>
          <w:szCs w:val="28"/>
          <w:lang w:val="en-US" w:eastAsia="zh-CN"/>
        </w:rPr>
        <w:t>项目名称：</w:t>
      </w:r>
      <w:r>
        <w:rPr>
          <w:rFonts w:hint="eastAsia" w:ascii="Times New Roman" w:hAnsi="Times New Roman" w:eastAsia="宋体" w:cs="Times New Roman"/>
          <w:b w:val="0"/>
          <w:bCs w:val="0"/>
          <w:sz w:val="28"/>
          <w:szCs w:val="28"/>
          <w:lang w:val="en-US" w:eastAsia="zh-CN"/>
        </w:rPr>
        <w:t>佛山校区2025-2027年小额工程设计服务项目</w:t>
      </w:r>
    </w:p>
    <w:p w14:paraId="015AF66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sz w:val="28"/>
          <w:szCs w:val="28"/>
          <w:lang w:val="en-US" w:eastAsia="zh-CN"/>
        </w:rPr>
      </w:pPr>
      <w:r>
        <w:rPr>
          <w:rFonts w:hint="eastAsia" w:ascii="Times New Roman" w:hAnsi="Times New Roman" w:eastAsia="宋体" w:cs="Times New Roman"/>
          <w:b/>
          <w:bCs/>
          <w:sz w:val="28"/>
          <w:szCs w:val="28"/>
          <w:lang w:val="en-US" w:eastAsia="zh-CN"/>
        </w:rPr>
        <w:t>三</w:t>
      </w:r>
      <w:r>
        <w:rPr>
          <w:rFonts w:hint="eastAsia" w:eastAsia="宋体" w:cs="Times New Roman"/>
          <w:b/>
          <w:bCs/>
          <w:sz w:val="28"/>
          <w:szCs w:val="28"/>
          <w:lang w:val="en-US" w:eastAsia="zh-CN"/>
        </w:rPr>
        <w:t>、预算金额：</w:t>
      </w:r>
      <w:r>
        <w:rPr>
          <w:rFonts w:hint="eastAsia" w:eastAsia="宋体" w:cs="Times New Roman"/>
          <w:sz w:val="28"/>
          <w:szCs w:val="28"/>
          <w:lang w:val="en-US" w:eastAsia="zh-CN"/>
        </w:rPr>
        <w:t>预算总价为9.8万元，每个项目按实际结算。</w:t>
      </w:r>
    </w:p>
    <w:p w14:paraId="6EC12DD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b/>
          <w:bCs/>
          <w:sz w:val="28"/>
          <w:szCs w:val="28"/>
          <w:lang w:val="en-US" w:eastAsia="zh-CN"/>
        </w:rPr>
      </w:pPr>
      <w:r>
        <w:rPr>
          <w:rFonts w:hint="eastAsia" w:cs="Times New Roman"/>
          <w:b/>
          <w:bCs/>
          <w:sz w:val="28"/>
          <w:szCs w:val="28"/>
          <w:lang w:val="en-US" w:eastAsia="zh-CN"/>
        </w:rPr>
        <w:t>四</w:t>
      </w:r>
      <w:r>
        <w:rPr>
          <w:rFonts w:hint="eastAsia" w:eastAsia="宋体" w:cs="Times New Roman"/>
          <w:b/>
          <w:bCs/>
          <w:sz w:val="28"/>
          <w:szCs w:val="28"/>
          <w:lang w:val="en-US" w:eastAsia="zh-CN"/>
        </w:rPr>
        <w:t>、投标人/供应商资格条件</w:t>
      </w:r>
    </w:p>
    <w:p w14:paraId="5127B8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具有独立承担民事责任能力，且具备履行合同所必需的设备和专业技术能力。</w:t>
      </w:r>
    </w:p>
    <w:p w14:paraId="03F0E6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具有合法有效的企业法人《营业执照》副本或事业单位法人证书或法人登记证书。</w:t>
      </w:r>
    </w:p>
    <w:p w14:paraId="6F43D9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具有建筑装饰工程设计专项乙级及以上设计资质。</w:t>
      </w:r>
    </w:p>
    <w:p w14:paraId="6DBE8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313B1D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本项目不接受联合体投标。</w:t>
      </w:r>
    </w:p>
    <w:p w14:paraId="0D793B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五、项目概况</w:t>
      </w:r>
    </w:p>
    <w:p w14:paraId="591911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服务内容：为广东财经大学佛山校区100万元以下小额工程提供设计服务。</w:t>
      </w:r>
    </w:p>
    <w:p w14:paraId="6AD023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本项目工程造价一年累计约200万元（单个项目预算不超过100万元，全年累计约5-15个项目）。</w:t>
      </w:r>
    </w:p>
    <w:p w14:paraId="7C888E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服务费用：总设计服务费用预计约9.8万元/两年，具体以单个项目实际结算为准。</w:t>
      </w:r>
    </w:p>
    <w:p w14:paraId="58C6C6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服务期限：2年，自合同签订之日起计算。</w:t>
      </w:r>
    </w:p>
    <w:p w14:paraId="59CBA4E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六、服务内容</w:t>
      </w:r>
    </w:p>
    <w:p w14:paraId="0A2D5D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设计范围：广东财经大学小额工程项目建筑、装修、结构、电气、给排水、节能、防雷、市政、绿化等。</w:t>
      </w:r>
    </w:p>
    <w:p w14:paraId="72E3A4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设计内容：</w:t>
      </w:r>
    </w:p>
    <w:p w14:paraId="57C24D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按采购人要求的设计范围，提供3个设计方案（效果图）供采购人选择；</w:t>
      </w:r>
    </w:p>
    <w:p w14:paraId="69DABF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针对采购人选择的设计方案进行初步设计及施工图设计；</w:t>
      </w:r>
    </w:p>
    <w:p w14:paraId="671890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提交的设计文件应符合有关主管部门制定的设计标准、规范、规程、定额和办法的要求；</w:t>
      </w:r>
    </w:p>
    <w:p w14:paraId="0DB219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设计资料及文件中，建筑材料、建筑构配件和设备，应当注明其规格、型号、性能等技术指标，其质量要求必须符合国家规定的标准。除有特殊要求的建筑材料、专用设备、工艺生产线等外，设计单位不得指定生产厂、供应商。</w:t>
      </w:r>
    </w:p>
    <w:p w14:paraId="6F401A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设计文件要求：</w:t>
      </w:r>
    </w:p>
    <w:p w14:paraId="4FDAF7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根据《建筑工程设计文件编制深度规定》的要求，提交给采购人设计成果文件至少应包括但不限于如下内容：</w:t>
      </w:r>
    </w:p>
    <w:p w14:paraId="306CCA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3.1</w:t>
      </w:r>
      <w:r>
        <w:rPr>
          <w:rFonts w:hint="eastAsia" w:ascii="Times New Roman" w:hAnsi="Times New Roman" w:eastAsia="宋体" w:cs="Times New Roman"/>
          <w:b w:val="0"/>
          <w:bCs w:val="0"/>
          <w:sz w:val="28"/>
          <w:szCs w:val="28"/>
          <w:lang w:val="en-US" w:eastAsia="zh-CN"/>
        </w:rPr>
        <w:t>初步设计文件：</w:t>
      </w:r>
    </w:p>
    <w:p w14:paraId="1813CC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（1）设计说明书，包括设计总说明、各专业设计说明。对于涉及建筑节能、环保、绿色建筑、人防、装配式建筑等，其设计说明应有相应的专项内容；</w:t>
      </w:r>
    </w:p>
    <w:p w14:paraId="09A46A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（2）有关专业的设计图纸；</w:t>
      </w:r>
    </w:p>
    <w:p w14:paraId="70FDA1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（3）主要设备或材料表；</w:t>
      </w:r>
    </w:p>
    <w:p w14:paraId="2C573D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2CE44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（5）有关专业计算书。</w:t>
      </w:r>
    </w:p>
    <w:p w14:paraId="3DF6B6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2</w:t>
      </w:r>
      <w:r>
        <w:rPr>
          <w:rFonts w:hint="eastAsia" w:cs="Times New Roman"/>
          <w:b w:val="0"/>
          <w:bCs w:val="0"/>
          <w:sz w:val="28"/>
          <w:szCs w:val="28"/>
          <w:lang w:val="en-US" w:eastAsia="zh-CN"/>
        </w:rPr>
        <w:t xml:space="preserve"> </w:t>
      </w:r>
      <w:r>
        <w:rPr>
          <w:rFonts w:hint="eastAsia" w:ascii="Times New Roman" w:hAnsi="Times New Roman" w:eastAsia="宋体" w:cs="Times New Roman"/>
          <w:b w:val="0"/>
          <w:bCs w:val="0"/>
          <w:sz w:val="28"/>
          <w:szCs w:val="28"/>
          <w:lang w:val="en-US" w:eastAsia="zh-CN"/>
        </w:rPr>
        <w:t>施工图设计文件：</w:t>
      </w:r>
    </w:p>
    <w:p w14:paraId="20E9AE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14:paraId="32E9C4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（2）所有专业的设计图纸；</w:t>
      </w:r>
    </w:p>
    <w:p w14:paraId="2E3EA5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（3）全部设备或材料表；</w:t>
      </w:r>
    </w:p>
    <w:p w14:paraId="421255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0C8C3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（5）各专业计算书。</w:t>
      </w:r>
    </w:p>
    <w:p w14:paraId="251F9EB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cs="Times New Roman"/>
          <w:b/>
          <w:bCs/>
          <w:sz w:val="28"/>
          <w:szCs w:val="28"/>
          <w:lang w:val="en-US" w:eastAsia="zh-CN"/>
        </w:rPr>
        <w:t>七</w:t>
      </w:r>
      <w:r>
        <w:rPr>
          <w:rFonts w:hint="eastAsia" w:ascii="Times New Roman" w:hAnsi="Times New Roman" w:eastAsia="宋体" w:cs="Times New Roman"/>
          <w:b/>
          <w:bCs/>
          <w:sz w:val="28"/>
          <w:szCs w:val="28"/>
          <w:lang w:val="en-US" w:eastAsia="zh-CN"/>
        </w:rPr>
        <w:t>、服务的技术标准/质量要求</w:t>
      </w:r>
    </w:p>
    <w:p w14:paraId="0C20AC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工程设计应满足采购人的要求，工程设计标准参考《民用建筑设计通则》、《建筑设计防火规范》、《现行建筑设计规范》、《建设工程质量管理条例》等国家颁布的现行有关法律法规、规范、规定、规程、规则、标准。</w:t>
      </w:r>
    </w:p>
    <w:p w14:paraId="677FB9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设计文件应表达清楚、准确、详细、完整，满足建设部《建筑工程设计文件编制深度规定》（2016年版）的要求，注明工程合理使用年限。</w:t>
      </w:r>
    </w:p>
    <w:p w14:paraId="02668E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工程项目发生设计变更，设计单位需免费全程配合修改，并于5个工作日内把修改后的图纸交付采购人。</w:t>
      </w:r>
    </w:p>
    <w:p w14:paraId="0C8793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工程项目自验收合格之日起，在正常情况下，因设计单位设计原因引起的责任，由设计单位全力承担。</w:t>
      </w:r>
    </w:p>
    <w:p w14:paraId="09F238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八、服务时间及资料要求</w:t>
      </w:r>
    </w:p>
    <w:p w14:paraId="3E8772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s="Times New Roman"/>
          <w:b w:val="0"/>
          <w:bCs w:val="0"/>
          <w:sz w:val="28"/>
          <w:szCs w:val="28"/>
          <w:lang w:val="en-US" w:eastAsia="zh-CN"/>
        </w:rPr>
      </w:pPr>
      <w:r>
        <w:rPr>
          <w:rFonts w:hint="eastAsia" w:cs="Times New Roman"/>
          <w:b w:val="0"/>
          <w:bCs w:val="0"/>
          <w:sz w:val="28"/>
          <w:szCs w:val="28"/>
          <w:lang w:val="en-US" w:eastAsia="zh-CN"/>
        </w:rPr>
        <w:t>1.中标人接到采购人项目设计需求时，应在2小时内响应，24小时内到达佛山校区，开展勘察设计，另有约定除外。</w:t>
      </w:r>
    </w:p>
    <w:p w14:paraId="01767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工程设计业务自勘察现场或采购人移交资料后开始施工图设计，20万元（含20万元）以上的项目于12个日历天内完成，20万元以下的项目于7个日历天内完成，但不包括与有关单位核对时间，若采购人提出修改意见，中标人应积极配合，并在采购人要求的时间内保质保量完成工程设计修改工作。</w:t>
      </w:r>
    </w:p>
    <w:p w14:paraId="1CFEC3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设计单位提供全套设计电子版资料和设计蓝图终稿纸质版文件一式六份，若采购人需要增加份数，不另计工本费。</w:t>
      </w:r>
    </w:p>
    <w:p w14:paraId="1BBE1FE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九、设计服务费报价及结算与支付方式：</w:t>
      </w:r>
    </w:p>
    <w:p w14:paraId="06DA9FE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1.设计服务费报价：</w:t>
      </w:r>
    </w:p>
    <w:p w14:paraId="1BF1E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设计服务费参照国家计委、住房和城乡建设部发布的《工程勘察设计收费管理规定》（计价格[2002]10号）的规定，并结合我校小额工程实际情况，施工图设计及初步设计服务费，统一以唯一折扣率形式报价，具体计费如下：</w:t>
      </w:r>
    </w:p>
    <w:p w14:paraId="5D93FD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施工图设计服务费，基数为税前工程造价*4.3%，最终支付的设计服务费=税前工程造价*4.3%*折扣率。例如：某项目税前工程造价为450000.00元，某中标人以折扣率90%进行报价，则项目施工图设计服务费=450000.00元*4.3%*90%=17415.00元。</w:t>
      </w:r>
    </w:p>
    <w:p w14:paraId="0A6E5C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初步设计服务费，基数为税前工程概算造价*4.3%*50%，最终支付的初步设计服务费=税前工程概算造价*4.3%*50%*折扣率。例如：某项目税前工程概算造价为250000.00元，某中标人以折扣率90%进行报价，则项目初步设计服务费=250000.00元*4.3%*50%*90%=4837.50元。</w:t>
      </w:r>
    </w:p>
    <w:p w14:paraId="1F449E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（3）完成施工图设计，设计服务费不足2000元的按2000元支付。</w:t>
      </w:r>
    </w:p>
    <w:p w14:paraId="4DBA40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（4）完成初步设计，设计服务费不足1000元的按1000元支付。</w:t>
      </w:r>
    </w:p>
    <w:p w14:paraId="192BF074">
      <w:pPr>
        <w:widowControl w:val="0"/>
        <w:spacing w:line="360" w:lineRule="auto"/>
        <w:ind w:left="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备注：①</w:t>
      </w:r>
      <w:r>
        <w:rPr>
          <w:rFonts w:ascii="仿宋" w:hAnsi="仿宋" w:eastAsia="仿宋"/>
          <w:bCs/>
          <w:kern w:val="2"/>
          <w:sz w:val="24"/>
          <w:szCs w:val="24"/>
        </w:rPr>
        <w:t>设计服务费综合考虑了提供的三个设计方案（效果图）供采购人选定的设计费用，采购人不再另行支付相关费用。</w:t>
      </w:r>
    </w:p>
    <w:p w14:paraId="6E99D5C7">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②</w:t>
      </w:r>
      <w:r>
        <w:rPr>
          <w:rFonts w:ascii="仿宋" w:hAnsi="仿宋" w:eastAsia="仿宋"/>
          <w:bCs/>
          <w:kern w:val="2"/>
          <w:sz w:val="24"/>
          <w:szCs w:val="24"/>
        </w:rPr>
        <w:t>向采购人提供施工图设计或初步设计服务资料所含工程概算</w:t>
      </w:r>
      <w:r>
        <w:rPr>
          <w:rFonts w:hint="eastAsia" w:ascii="仿宋" w:hAnsi="仿宋" w:eastAsia="仿宋"/>
          <w:bCs/>
          <w:kern w:val="2"/>
          <w:sz w:val="24"/>
          <w:szCs w:val="24"/>
        </w:rPr>
        <w:t>书编制</w:t>
      </w:r>
      <w:r>
        <w:rPr>
          <w:rFonts w:ascii="仿宋" w:hAnsi="仿宋" w:eastAsia="仿宋"/>
          <w:bCs/>
          <w:kern w:val="2"/>
          <w:sz w:val="24"/>
          <w:szCs w:val="24"/>
        </w:rPr>
        <w:t>已综合在施工图设计或初步设计服务费里，不再另行支付相关费用。</w:t>
      </w:r>
    </w:p>
    <w:p w14:paraId="598DB32F">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③</w:t>
      </w:r>
      <w:r>
        <w:rPr>
          <w:rFonts w:ascii="仿宋" w:hAnsi="仿宋" w:eastAsia="仿宋"/>
          <w:bCs/>
          <w:kern w:val="2"/>
          <w:sz w:val="24"/>
          <w:szCs w:val="24"/>
        </w:rPr>
        <w:t>按采购人要求完成初步设计，由于采购人原因，项目取消不实施，则按完成初步设计阶段收费标准，支付设计服务费。</w:t>
      </w:r>
    </w:p>
    <w:p w14:paraId="05DD0678">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④</w:t>
      </w:r>
      <w:r>
        <w:rPr>
          <w:rFonts w:ascii="仿宋" w:hAnsi="仿宋" w:eastAsia="仿宋"/>
          <w:bCs/>
          <w:kern w:val="2"/>
          <w:sz w:val="24"/>
          <w:szCs w:val="24"/>
        </w:rPr>
        <w:t>按采购人要求完成初步设计的基础上继续深化施工图设计，则按施工图设计阶段收费标准，</w:t>
      </w:r>
      <w:r>
        <w:rPr>
          <w:rFonts w:hint="eastAsia" w:ascii="仿宋" w:hAnsi="仿宋" w:eastAsia="仿宋"/>
          <w:bCs/>
          <w:kern w:val="2"/>
          <w:sz w:val="24"/>
          <w:szCs w:val="24"/>
        </w:rPr>
        <w:t>支付</w:t>
      </w:r>
      <w:r>
        <w:rPr>
          <w:rFonts w:ascii="仿宋" w:hAnsi="仿宋" w:eastAsia="仿宋"/>
          <w:bCs/>
          <w:kern w:val="2"/>
          <w:sz w:val="24"/>
          <w:szCs w:val="24"/>
        </w:rPr>
        <w:t>设计服务费。</w:t>
      </w:r>
    </w:p>
    <w:p w14:paraId="5A5C4405">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⑤</w:t>
      </w:r>
      <w:r>
        <w:rPr>
          <w:rFonts w:ascii="仿宋" w:hAnsi="仿宋" w:eastAsia="仿宋"/>
          <w:bCs/>
          <w:kern w:val="2"/>
          <w:sz w:val="24"/>
          <w:szCs w:val="24"/>
        </w:rPr>
        <w:t>税前工程造价指采购人将施工图委托咨询公司进行编制工程预算造价清单里的税前工程造价，以上费用已包含编制设计文件过程中产生的外出劳务费、交通差旅、餐费、税金等相关费用。</w:t>
      </w:r>
    </w:p>
    <w:p w14:paraId="0F14791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2.结算与支付方式：</w:t>
      </w:r>
    </w:p>
    <w:p w14:paraId="4C6748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（1）按一个独立工程项目单独结算，设计单位按采购人要求完成委托业务，提供正式出稿的设计施工图或初步设计图文件。</w:t>
      </w:r>
    </w:p>
    <w:p w14:paraId="7C6ABD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委托项目通过验收后，设计单位按采购人通知期限，提交相应的设计服务费书面申请报告、合同及等额发票，采购人收齐资料后于20个工作日内支付该项目设计服务费。若遇寒暑假或其他特殊情况，则付款时间相应顺延。</w:t>
      </w:r>
    </w:p>
    <w:p w14:paraId="0D2A776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十、双方权利和义务</w:t>
      </w:r>
    </w:p>
    <w:p w14:paraId="3432C6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（一）采购人的权利与义务</w:t>
      </w:r>
    </w:p>
    <w:p w14:paraId="68CD3F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1.双方的约定：采购人按合同条款约定进行付款，安排专人负责跟进，负责提供项目资料及协助现场勘查收集数据等资料。</w:t>
      </w:r>
    </w:p>
    <w:p w14:paraId="44076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2D3825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（二）设计单位的权利与义务</w:t>
      </w:r>
    </w:p>
    <w:p w14:paraId="5A7A3F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1.双方的约定：设计单位按合同约定提供项目设计服务。</w:t>
      </w:r>
    </w:p>
    <w:p w14:paraId="3B26C4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0D96F93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十一、建设工程设计合理使用年限</w:t>
      </w:r>
    </w:p>
    <w:p w14:paraId="7EB24A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）凡在建设工程有关建设标准、规范中有合理使用年限规定的，设计单位必须在相关的设计文件中注明。</w:t>
      </w:r>
    </w:p>
    <w:p w14:paraId="6C6A4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）目前建设工程标准、规范中尚未制定合理使用年限规定的，或建设单位对建设工程的合理使用年限有特殊要求的，经双方商议明确后，由设计单位在设计文件中注明。</w:t>
      </w:r>
    </w:p>
    <w:p w14:paraId="224E09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十二、违约责任</w:t>
      </w:r>
    </w:p>
    <w:p w14:paraId="175E3A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合同履约期间，因中标人不能及时响应，或者响应后不能及时到达，以及不按时提交设计资料的，每逾期一天，采购人扣减该项目应收设计服务费的2%。</w:t>
      </w:r>
    </w:p>
    <w:p w14:paraId="39EB2B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合同履行期间，如因采购人原因，终止项目设计时，采购人按设计单位实际完成工作量支付相应的设计服务费。</w:t>
      </w:r>
    </w:p>
    <w:p w14:paraId="5BE348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）设计单位未能按本合同规定的时间完成委托业务的，每逾期一天，</w:t>
      </w:r>
      <w:r>
        <w:rPr>
          <w:rFonts w:hint="eastAsia" w:cs="Times New Roman"/>
          <w:b w:val="0"/>
          <w:bCs w:val="0"/>
          <w:sz w:val="28"/>
          <w:szCs w:val="28"/>
          <w:lang w:val="en-US" w:eastAsia="zh-CN"/>
        </w:rPr>
        <w:t>采购人扣减</w:t>
      </w:r>
      <w:r>
        <w:rPr>
          <w:rFonts w:hint="eastAsia" w:ascii="Times New Roman" w:hAnsi="Times New Roman" w:eastAsia="宋体" w:cs="Times New Roman"/>
          <w:b w:val="0"/>
          <w:bCs w:val="0"/>
          <w:sz w:val="28"/>
          <w:szCs w:val="28"/>
          <w:lang w:val="en-US" w:eastAsia="zh-CN"/>
        </w:rPr>
        <w:t>该项目应收设计服务费的2%。</w:t>
      </w:r>
    </w:p>
    <w:p w14:paraId="49208C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）设计单位对设计资料及文件出现的遗漏或错误负责修改或补充，由于设计单位错误造成工程质量事故损失，设计单位除负责采取补救措施外，须免收直接受损部分的设计费。</w:t>
      </w:r>
    </w:p>
    <w:p w14:paraId="3C4177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）因设计单位的设计资料及文件出现的遗漏或错误，造成工程结算造价比施工合同价增加超过10%的，扣减该项目设计服务费的20%，造成重大质量事故的，依法追究设计单位法律责任，并赔偿采购人经济损失。</w:t>
      </w:r>
    </w:p>
    <w:p w14:paraId="55AB24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bookmarkStart w:id="0" w:name="_GoBack"/>
      <w:bookmarkEnd w:id="0"/>
      <w:r>
        <w:rPr>
          <w:rFonts w:hint="eastAsia" w:ascii="Times New Roman" w:hAnsi="Times New Roman" w:eastAsia="宋体" w:cs="Times New Roman"/>
          <w:b w:val="0"/>
          <w:bCs w:val="0"/>
          <w:sz w:val="28"/>
          <w:szCs w:val="28"/>
          <w:lang w:val="en-US" w:eastAsia="zh-CN"/>
        </w:rPr>
        <w:t>）其它违约责任按《中华人民共和国民法典》处理。</w:t>
      </w:r>
    </w:p>
    <w:p w14:paraId="15FE589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十三、解决争议方式</w:t>
      </w:r>
    </w:p>
    <w:p w14:paraId="20C4B6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合同执行过程中发生的任何争议，双方友好协商解决，协商不成，向甲方所在地人民法院提起诉讼。</w:t>
      </w:r>
    </w:p>
    <w:p w14:paraId="537C0C3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十四、保密</w:t>
      </w:r>
    </w:p>
    <w:p w14:paraId="2C6FCA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）设计单位必须采取措施对本项目实施过程中收集的相关资料保密，否则，由于设计单位过错导致的上述资料泄密的，设计单位必须承担一切责任。项目完成后，双方均有责任对本项目的技术保密承担责任。</w:t>
      </w:r>
    </w:p>
    <w:p w14:paraId="4EBC74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未经采购人事先书面同意，设计单位不得将由采购人为本合同提供的任何资料提供给与本合同无关的任何第三方，不得将其用于履行本合同之外的其它用途。即使向与履行本合同有关的人员提供，也应注意保密并限于履行合同所必需的范围。</w:t>
      </w:r>
    </w:p>
    <w:p w14:paraId="5B72A2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）如果采购人有要求，设计单位在完成合同后应将有关资料还给采购人。</w:t>
      </w:r>
    </w:p>
    <w:p w14:paraId="3909A38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十五、报价文件内容（报价供应商报价时需对以下内容逐条响应，且提供材料并加盖报价供应商公章,如未按要求提交或资料不齐全，视为不响应询价文件实质性要求，按无效报价处理）</w:t>
      </w:r>
    </w:p>
    <w:p w14:paraId="62D9DC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《报价声明》</w:t>
      </w:r>
      <w:r>
        <w:rPr>
          <w:rFonts w:hint="eastAsia" w:ascii="Times New Roman" w:hAnsi="Times New Roman" w:eastAsia="宋体" w:cs="Times New Roman"/>
          <w:b w:val="0"/>
          <w:bCs w:val="0"/>
          <w:sz w:val="28"/>
          <w:szCs w:val="28"/>
          <w:lang w:val="en-US" w:eastAsia="zh-CN"/>
        </w:rPr>
        <w:t>（见附件1）。</w:t>
      </w:r>
    </w:p>
    <w:p w14:paraId="34532F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《报价一览表》</w:t>
      </w:r>
      <w:r>
        <w:rPr>
          <w:rFonts w:hint="eastAsia" w:ascii="Times New Roman" w:hAnsi="Times New Roman" w:eastAsia="宋体" w:cs="Times New Roman"/>
          <w:b w:val="0"/>
          <w:bCs w:val="0"/>
          <w:sz w:val="28"/>
          <w:szCs w:val="28"/>
          <w:lang w:val="en-US" w:eastAsia="zh-CN"/>
        </w:rPr>
        <w:t>（见附件2）。</w:t>
      </w:r>
    </w:p>
    <w:p w14:paraId="0AD6A0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）非联合体投标承诺书（见附件3）。</w:t>
      </w:r>
    </w:p>
    <w:p w14:paraId="3802EE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）提交企业法人《营业执照》副本或事业单位法人证书或法人登记证书复印件。</w:t>
      </w:r>
    </w:p>
    <w:p w14:paraId="66345B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）按要求提交法定代表人证明书、授权委托书（附件4、附件5）。</w:t>
      </w:r>
    </w:p>
    <w:p w14:paraId="2E3271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）按要求提交具备承接本项目的设计资质证书复印件。</w:t>
      </w:r>
    </w:p>
    <w:p w14:paraId="2EC640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62C321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）提交具有独立承担民事责任能力，且具备履行合同所必需的设备和专业技术能力（提供说明材料或承诺书）。</w:t>
      </w:r>
    </w:p>
    <w:p w14:paraId="109EDC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九</w:t>
      </w:r>
      <w:r>
        <w:rPr>
          <w:rFonts w:hint="eastAsia" w:ascii="Times New Roman" w:hAnsi="Times New Roman" w:eastAsia="宋体" w:cs="Times New Roman"/>
          <w:b w:val="0"/>
          <w:bCs w:val="0"/>
          <w:sz w:val="28"/>
          <w:szCs w:val="28"/>
          <w:lang w:val="en-US" w:eastAsia="zh-CN"/>
        </w:rPr>
        <w:t>）提交本项目要求的相关技术（或服务）响应文件。</w:t>
      </w:r>
    </w:p>
    <w:p w14:paraId="5CA893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注：报价文件正本 1 套，副本 1 套，电子稿1套。</w:t>
      </w:r>
    </w:p>
    <w:p w14:paraId="1CABD6F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十六、项目报价要求：</w:t>
      </w:r>
    </w:p>
    <w:p w14:paraId="6C3824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 xml:space="preserve">）各供应商报价应为一次性报价，否则为无效报价。 </w:t>
      </w:r>
    </w:p>
    <w:p w14:paraId="52C36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）报价供应商只能提供一份报价方案，否则为无效报价。</w:t>
      </w:r>
    </w:p>
    <w:p w14:paraId="4BADFF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）报价文件不符合要求者视为无效报价。</w:t>
      </w:r>
    </w:p>
    <w:p w14:paraId="344416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）供应商报价超过预算金额的视为无效报价。</w:t>
      </w:r>
    </w:p>
    <w:p w14:paraId="508143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）本次询价须满足三家或以上供应商提交报价，价低者中标；若有效报价不足三家，则本次询价失败。</w:t>
      </w:r>
    </w:p>
    <w:p w14:paraId="21CC7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）无论询价结果如何，供应商应承担准备文件和递交文件所发生的任何成本和费用。</w:t>
      </w:r>
    </w:p>
    <w:p w14:paraId="44A59C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）供应商所递交的报价文件须密封完好。采购人拒收没有密封完好的报价文件。</w:t>
      </w:r>
    </w:p>
    <w:p w14:paraId="47269A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）递交了报价文件但不参加唱价的供应商，视为默认唱价结果。</w:t>
      </w:r>
    </w:p>
    <w:p w14:paraId="08D37CE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十七、确定成交供应商原则</w:t>
      </w:r>
    </w:p>
    <w:p w14:paraId="5DA56F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在通过资格性与符合性审查、满足技术（或服务）需求有效报价3家或以上的，按照折扣率最低原则确定成交供应商。报价折扣率最低的供应商为第一成交候选人，报价折扣率第二低的供应商为第二成交候选人，报价折扣率第三低的供应商为第三成交候选人，依次类推。若有效报价不足3家，本次询价失败。</w:t>
      </w:r>
    </w:p>
    <w:p w14:paraId="52CFA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）当出现相同报价时，按收到递交纸质版报价文件的</w:t>
      </w:r>
      <w:r>
        <w:rPr>
          <w:rFonts w:hint="eastAsia" w:ascii="Times New Roman" w:hAnsi="Times New Roman" w:eastAsia="宋体" w:cs="Times New Roman"/>
          <w:b/>
          <w:bCs/>
          <w:sz w:val="28"/>
          <w:szCs w:val="28"/>
          <w:lang w:val="en-US" w:eastAsia="zh-CN"/>
        </w:rPr>
        <w:t>签到</w:t>
      </w:r>
      <w:r>
        <w:rPr>
          <w:rFonts w:hint="eastAsia" w:ascii="Times New Roman" w:hAnsi="Times New Roman" w:eastAsia="宋体" w:cs="Times New Roman"/>
          <w:b w:val="0"/>
          <w:bCs w:val="0"/>
          <w:sz w:val="28"/>
          <w:szCs w:val="28"/>
          <w:lang w:val="en-US" w:eastAsia="zh-CN"/>
        </w:rPr>
        <w:t>先后顺序，由采购小组成员从号码箱中随机代抽取一个乒乓球，以乒乓球上标注的号码数作为相同报价的供应商的排名顺序（从小到大）。</w:t>
      </w:r>
    </w:p>
    <w:p w14:paraId="4BF87E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）若成交供应商放弃成交资格或不按照学校采购制度的规定签订合同或被采购人单方面解除合同的，采购人有权依照排名先后顺序依次选择其他供应商作为成交供应商或重新采购。</w:t>
      </w:r>
    </w:p>
    <w:p w14:paraId="213FA8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十八、如果本次供应商报价均超过本项目预算金额，本次询价采购失败。</w:t>
      </w:r>
    </w:p>
    <w:p w14:paraId="72AD6B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val="0"/>
          <w:bCs w:val="0"/>
          <w:sz w:val="28"/>
          <w:szCs w:val="28"/>
          <w:lang w:val="en-US" w:eastAsia="zh-CN"/>
        </w:rPr>
        <w:t>十九、报价文件送达时间及送达方式：</w:t>
      </w:r>
      <w:r>
        <w:rPr>
          <w:rFonts w:hint="eastAsia" w:ascii="Times New Roman" w:hAnsi="Times New Roman" w:eastAsia="宋体" w:cs="Times New Roman"/>
          <w:sz w:val="28"/>
          <w:szCs w:val="28"/>
          <w:lang w:val="en-US" w:eastAsia="zh-CN"/>
        </w:rPr>
        <w:t>2025年6月1</w:t>
      </w:r>
      <w:r>
        <w:rPr>
          <w:rFonts w:hint="eastAsia" w:cs="Times New Roman"/>
          <w:sz w:val="28"/>
          <w:szCs w:val="28"/>
          <w:lang w:val="en-US" w:eastAsia="zh-CN"/>
        </w:rPr>
        <w:t>9</w:t>
      </w:r>
      <w:r>
        <w:rPr>
          <w:rFonts w:hint="eastAsia" w:ascii="Times New Roman" w:hAnsi="Times New Roman" w:eastAsia="宋体" w:cs="Times New Roman"/>
          <w:sz w:val="28"/>
          <w:szCs w:val="28"/>
          <w:lang w:val="en-US" w:eastAsia="zh-CN"/>
        </w:rPr>
        <w:t>日</w:t>
      </w:r>
      <w:r>
        <w:rPr>
          <w:rFonts w:hint="eastAsia" w:eastAsia="宋体" w:cs="Times New Roman"/>
          <w:sz w:val="28"/>
          <w:szCs w:val="28"/>
          <w:lang w:val="en-US" w:eastAsia="zh-CN"/>
        </w:rPr>
        <w:t>下午</w:t>
      </w:r>
      <w:r>
        <w:rPr>
          <w:rFonts w:hint="eastAsia" w:ascii="Times New Roman" w:hAnsi="Times New Roman" w:eastAsia="宋体" w:cs="Times New Roman"/>
          <w:sz w:val="28"/>
          <w:szCs w:val="28"/>
          <w:lang w:val="en-US" w:eastAsia="zh-CN"/>
        </w:rPr>
        <w:t>1</w:t>
      </w:r>
      <w:r>
        <w:rPr>
          <w:rFonts w:hint="eastAsia" w:eastAsia="宋体" w:cs="Times New Roman"/>
          <w:sz w:val="28"/>
          <w:szCs w:val="28"/>
          <w:lang w:val="en-US" w:eastAsia="zh-CN"/>
        </w:rPr>
        <w:t>5</w:t>
      </w:r>
      <w:r>
        <w:rPr>
          <w:rFonts w:hint="eastAsia" w:ascii="Times New Roman" w:hAnsi="Times New Roman" w:eastAsia="宋体" w:cs="Times New Roman"/>
          <w:sz w:val="28"/>
          <w:szCs w:val="28"/>
          <w:lang w:val="en-US" w:eastAsia="zh-CN"/>
        </w:rPr>
        <w:t>:00。密封件现场递交</w:t>
      </w:r>
      <w:r>
        <w:rPr>
          <w:rFonts w:hint="eastAsia" w:cs="Times New Roman"/>
          <w:sz w:val="28"/>
          <w:szCs w:val="28"/>
          <w:lang w:val="en-US" w:eastAsia="zh-CN"/>
        </w:rPr>
        <w:t>。递交地点：</w:t>
      </w:r>
      <w:r>
        <w:rPr>
          <w:rFonts w:hint="eastAsia" w:ascii="Times New Roman" w:hAnsi="Times New Roman" w:eastAsia="宋体" w:cs="Times New Roman"/>
          <w:sz w:val="28"/>
          <w:szCs w:val="28"/>
          <w:lang w:val="en-US" w:eastAsia="zh-CN"/>
        </w:rPr>
        <w:t>广东财经大学佛山校区厚德楼207会议室</w:t>
      </w:r>
    </w:p>
    <w:p w14:paraId="7E6EC5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★所有文件均需加盖公章，且需独立密封包装）。</w:t>
      </w:r>
    </w:p>
    <w:p w14:paraId="0EAB41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二十、询价评审时间及地点：202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w:t>
      </w:r>
      <w:r>
        <w:rPr>
          <w:rFonts w:hint="eastAsia" w:cs="Times New Roman"/>
          <w:b w:val="0"/>
          <w:bCs w:val="0"/>
          <w:sz w:val="28"/>
          <w:szCs w:val="28"/>
          <w:lang w:val="en-US" w:eastAsia="zh-CN"/>
        </w:rPr>
        <w:t>19</w:t>
      </w:r>
      <w:r>
        <w:rPr>
          <w:rFonts w:hint="eastAsia" w:ascii="Times New Roman" w:hAnsi="Times New Roman" w:eastAsia="宋体" w:cs="Times New Roman"/>
          <w:b w:val="0"/>
          <w:bCs w:val="0"/>
          <w:sz w:val="28"/>
          <w:szCs w:val="28"/>
          <w:lang w:val="en-US" w:eastAsia="zh-CN"/>
        </w:rPr>
        <w:t>日（星期</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下午</w:t>
      </w:r>
      <w:r>
        <w:rPr>
          <w:rFonts w:hint="eastAsia" w:ascii="Times New Roman" w:hAnsi="Times New Roman" w:eastAsia="宋体" w:cs="Times New Roman"/>
          <w:b w:val="0"/>
          <w:bCs w:val="0"/>
          <w:sz w:val="28"/>
          <w:szCs w:val="28"/>
          <w:lang w:val="en-US" w:eastAsia="zh-CN"/>
        </w:rPr>
        <w:t>1</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点，厚德楼207会议室。</w:t>
      </w:r>
    </w:p>
    <w:p w14:paraId="1FF7FD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、本询价文件未尽事宜的解释权属于广东财经大学佛山校区管理委员会。</w:t>
      </w:r>
    </w:p>
    <w:p w14:paraId="67838D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24F103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0123ED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广东财经大学佛山校区管理委员会                                           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月1</w:t>
      </w: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 xml:space="preserve">日 </w:t>
      </w:r>
    </w:p>
    <w:p w14:paraId="4D1B94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24"/>
        </w:rPr>
      </w:pPr>
      <w:r>
        <w:rPr>
          <w:rFonts w:hint="eastAsia" w:ascii="Times New Roman" w:hAnsi="Times New Roman" w:eastAsia="宋体" w:cs="Times New Roman"/>
          <w:b w:val="0"/>
          <w:bCs w:val="0"/>
          <w:sz w:val="28"/>
          <w:szCs w:val="28"/>
          <w:lang w:val="en-US" w:eastAsia="zh-CN"/>
        </w:rPr>
        <w:br w:type="page"/>
      </w:r>
      <w:r>
        <w:rPr>
          <w:rFonts w:hint="eastAsia" w:ascii="仿宋" w:hAnsi="仿宋" w:eastAsia="仿宋" w:cs="Tahoma"/>
          <w:b/>
          <w:bCs/>
          <w:sz w:val="24"/>
        </w:rPr>
        <w:t>附件1</w:t>
      </w:r>
    </w:p>
    <w:p w14:paraId="19FD9B9A">
      <w:pPr>
        <w:jc w:val="center"/>
        <w:rPr>
          <w:rFonts w:ascii="仿宋" w:hAnsi="仿宋" w:eastAsia="仿宋"/>
          <w:b/>
          <w:sz w:val="28"/>
          <w:szCs w:val="28"/>
        </w:rPr>
      </w:pPr>
      <w:r>
        <w:rPr>
          <w:rFonts w:hint="eastAsia" w:ascii="仿宋" w:hAnsi="仿宋" w:eastAsia="仿宋"/>
          <w:b/>
          <w:sz w:val="28"/>
          <w:szCs w:val="28"/>
        </w:rPr>
        <w:t>报价声明</w:t>
      </w:r>
    </w:p>
    <w:p w14:paraId="726BB945">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2CC5F10D">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w:t>
      </w:r>
      <w:r>
        <w:rPr>
          <w:rFonts w:hint="eastAsia" w:ascii="仿宋" w:hAnsi="仿宋" w:eastAsia="仿宋" w:cs="宋体"/>
          <w:b/>
          <w:snapToGrid w:val="0"/>
          <w:sz w:val="24"/>
          <w:u w:val="single"/>
          <w:lang w:val="en-US" w:eastAsia="zh-CN"/>
        </w:rPr>
        <w:t>佛山</w:t>
      </w:r>
      <w:r>
        <w:rPr>
          <w:rFonts w:hint="eastAsia" w:ascii="仿宋" w:hAnsi="仿宋" w:eastAsia="仿宋" w:cs="宋体"/>
          <w:b/>
          <w:snapToGrid w:val="0"/>
          <w:sz w:val="24"/>
          <w:u w:val="single"/>
        </w:rPr>
        <w:t>校区202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7</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5F177E99">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14:paraId="49472AE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07DDC7E8">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3E25A63E">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6E39A72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60B7CAD">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28770FDA">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14:paraId="06B84039">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E29CE15">
      <w:pPr>
        <w:pStyle w:val="22"/>
        <w:numPr>
          <w:ilvl w:val="0"/>
          <w:numId w:val="1"/>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14:paraId="15917D6E">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4064ACA9">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EE11CEB">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6EA173FD">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35690FCC">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35379C72">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A1523A1">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5A1B0CC7">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388BAB04">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6A91B402">
      <w:pPr>
        <w:tabs>
          <w:tab w:val="left" w:pos="8100"/>
        </w:tabs>
        <w:adjustRightInd w:val="0"/>
        <w:snapToGrid w:val="0"/>
        <w:spacing w:line="348" w:lineRule="auto"/>
        <w:jc w:val="center"/>
        <w:rPr>
          <w:rFonts w:ascii="仿宋" w:hAnsi="仿宋" w:eastAsia="仿宋" w:cs="Tahoma"/>
          <w:sz w:val="24"/>
          <w:szCs w:val="24"/>
        </w:rPr>
      </w:pPr>
    </w:p>
    <w:p w14:paraId="1D4AE4ED">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14:paraId="2BBE60CB">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5</w:t>
      </w:r>
      <w:r>
        <w:rPr>
          <w:rFonts w:hint="eastAsia" w:ascii="仿宋" w:hAnsi="仿宋" w:eastAsia="仿宋" w:cs="Tahoma"/>
          <w:sz w:val="24"/>
          <w:szCs w:val="24"/>
        </w:rPr>
        <w:t>年  月  日</w:t>
      </w:r>
    </w:p>
    <w:p w14:paraId="3EF617C6">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14:paraId="4D5B1659">
      <w:pPr>
        <w:rPr>
          <w:rFonts w:ascii="仿宋" w:hAnsi="仿宋" w:eastAsia="仿宋" w:cs="Tahoma"/>
          <w:sz w:val="24"/>
        </w:rPr>
      </w:pPr>
      <w:r>
        <w:rPr>
          <w:rFonts w:ascii="仿宋" w:hAnsi="仿宋" w:eastAsia="仿宋" w:cs="Tahoma"/>
          <w:sz w:val="24"/>
        </w:rPr>
        <w:br w:type="page"/>
      </w:r>
    </w:p>
    <w:p w14:paraId="742A751A">
      <w:pPr>
        <w:tabs>
          <w:tab w:val="left" w:pos="8100"/>
        </w:tabs>
        <w:adjustRightInd w:val="0"/>
        <w:snapToGrid w:val="0"/>
        <w:spacing w:line="348" w:lineRule="auto"/>
        <w:rPr>
          <w:rFonts w:ascii="宋体" w:hAnsi="宋体" w:cs="Tahoma"/>
          <w:sz w:val="24"/>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59252A3E">
      <w:pPr>
        <w:spacing w:line="560" w:lineRule="exact"/>
        <w:jc w:val="center"/>
        <w:rPr>
          <w:rFonts w:ascii="宋体" w:hAnsi="宋体"/>
          <w:b/>
          <w:sz w:val="28"/>
          <w:szCs w:val="28"/>
        </w:rPr>
      </w:pPr>
      <w:r>
        <w:rPr>
          <w:rFonts w:hint="eastAsia" w:ascii="宋体" w:hAnsi="宋体"/>
          <w:b/>
          <w:sz w:val="28"/>
          <w:szCs w:val="28"/>
        </w:rPr>
        <w:t>报价一览表</w:t>
      </w:r>
    </w:p>
    <w:p w14:paraId="7E67BC0B">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13"/>
        <w:tblW w:w="9348" w:type="dxa"/>
        <w:jc w:val="center"/>
        <w:tblLayout w:type="fixed"/>
        <w:tblCellMar>
          <w:top w:w="0" w:type="dxa"/>
          <w:left w:w="30" w:type="dxa"/>
          <w:bottom w:w="0" w:type="dxa"/>
          <w:right w:w="30" w:type="dxa"/>
        </w:tblCellMar>
      </w:tblPr>
      <w:tblGrid>
        <w:gridCol w:w="2229"/>
        <w:gridCol w:w="7119"/>
      </w:tblGrid>
      <w:tr w14:paraId="73A76E45">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049A396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10A90B5E">
            <w:pPr>
              <w:autoSpaceDE w:val="0"/>
              <w:autoSpaceDN w:val="0"/>
              <w:adjustRightInd w:val="0"/>
              <w:spacing w:line="480" w:lineRule="exact"/>
              <w:jc w:val="center"/>
              <w:rPr>
                <w:rFonts w:ascii="宋体" w:hAnsi="宋体"/>
                <w:sz w:val="24"/>
              </w:rPr>
            </w:pPr>
            <w:r>
              <w:rPr>
                <w:rFonts w:hint="eastAsia" w:ascii="宋体" w:hAnsi="宋体"/>
                <w:sz w:val="24"/>
              </w:rPr>
              <w:t>广东财经大学</w:t>
            </w:r>
            <w:r>
              <w:rPr>
                <w:rFonts w:hint="eastAsia" w:ascii="宋体" w:hAnsi="宋体"/>
                <w:sz w:val="24"/>
                <w:lang w:val="en-US" w:eastAsia="zh-CN"/>
              </w:rPr>
              <w:t>佛山</w:t>
            </w:r>
            <w:r>
              <w:rPr>
                <w:rFonts w:hint="eastAsia" w:ascii="宋体" w:hAnsi="宋体"/>
                <w:sz w:val="24"/>
              </w:rPr>
              <w:t>校区202</w:t>
            </w:r>
            <w:r>
              <w:rPr>
                <w:rFonts w:hint="eastAsia" w:ascii="宋体" w:hAnsi="宋体"/>
                <w:sz w:val="24"/>
                <w:lang w:val="en-US" w:eastAsia="zh-CN"/>
              </w:rPr>
              <w:t>5</w:t>
            </w:r>
            <w:r>
              <w:rPr>
                <w:rFonts w:hint="eastAsia" w:ascii="宋体" w:hAnsi="宋体"/>
                <w:sz w:val="24"/>
              </w:rPr>
              <w:t>-202</w:t>
            </w:r>
            <w:r>
              <w:rPr>
                <w:rFonts w:hint="eastAsia" w:ascii="宋体" w:hAnsi="宋体"/>
                <w:sz w:val="24"/>
                <w:lang w:val="en-US" w:eastAsia="zh-CN"/>
              </w:rPr>
              <w:t>7</w:t>
            </w:r>
            <w:r>
              <w:rPr>
                <w:rFonts w:hint="eastAsia" w:ascii="宋体" w:hAnsi="宋体"/>
                <w:sz w:val="24"/>
              </w:rPr>
              <w:t>年小额工程设计服务项目</w:t>
            </w:r>
          </w:p>
        </w:tc>
      </w:tr>
      <w:tr w14:paraId="2E60C1FC">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7006A840">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14:paraId="18FF133E">
            <w:pPr>
              <w:autoSpaceDE w:val="0"/>
              <w:autoSpaceDN w:val="0"/>
              <w:adjustRightInd w:val="0"/>
              <w:spacing w:line="480" w:lineRule="exact"/>
              <w:rPr>
                <w:rFonts w:ascii="宋体" w:hAnsi="宋体"/>
                <w:b/>
                <w:sz w:val="24"/>
                <w:u w:val="single"/>
              </w:rPr>
            </w:pPr>
          </w:p>
          <w:p w14:paraId="1E3B8115">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727D913">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5BDDED51">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4941348A">
            <w:pPr>
              <w:autoSpaceDE w:val="0"/>
              <w:autoSpaceDN w:val="0"/>
              <w:adjustRightInd w:val="0"/>
              <w:spacing w:line="480" w:lineRule="exact"/>
              <w:ind w:firstLine="843" w:firstLineChars="350"/>
              <w:rPr>
                <w:rFonts w:ascii="宋体"/>
                <w:b/>
                <w:sz w:val="24"/>
                <w:u w:val="single"/>
              </w:rPr>
            </w:pPr>
          </w:p>
          <w:p w14:paraId="33F6BA5E">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6E37E3D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79266E84">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1C094462">
            <w:pPr>
              <w:autoSpaceDE w:val="0"/>
              <w:autoSpaceDN w:val="0"/>
              <w:adjustRightInd w:val="0"/>
              <w:spacing w:line="480" w:lineRule="exact"/>
              <w:jc w:val="left"/>
              <w:rPr>
                <w:rFonts w:ascii="宋体" w:hAnsi="宋体"/>
                <w:sz w:val="24"/>
              </w:rPr>
            </w:pPr>
            <w:r>
              <w:rPr>
                <w:rFonts w:hint="eastAsia" w:ascii="宋体" w:hAnsi="宋体"/>
                <w:sz w:val="24"/>
                <w:lang w:val="en-US" w:eastAsia="zh-CN"/>
              </w:rPr>
              <w:t>报价包含一切费用，每个工程设计费用按照实际结算。具体参见本用户需求书。</w:t>
            </w:r>
          </w:p>
        </w:tc>
      </w:tr>
    </w:tbl>
    <w:p w14:paraId="1135BCA9">
      <w:pPr>
        <w:pStyle w:val="8"/>
        <w:spacing w:line="360" w:lineRule="auto"/>
        <w:rPr>
          <w:rFonts w:hAnsi="宋体"/>
          <w:sz w:val="24"/>
        </w:rPr>
      </w:pPr>
      <w:r>
        <w:rPr>
          <w:rFonts w:hint="eastAsia" w:hAnsi="宋体"/>
          <w:sz w:val="24"/>
        </w:rPr>
        <w:t>注：</w:t>
      </w:r>
    </w:p>
    <w:p w14:paraId="007F8BF1">
      <w:pPr>
        <w:pStyle w:val="8"/>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14:paraId="21E004B1">
      <w:pPr>
        <w:pStyle w:val="8"/>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14:paraId="22722A69">
      <w:pPr>
        <w:pStyle w:val="8"/>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14:paraId="0AD43CD9">
      <w:pPr>
        <w:pStyle w:val="8"/>
        <w:numPr>
          <w:ilvl w:val="-1"/>
          <w:numId w:val="0"/>
        </w:numPr>
        <w:spacing w:line="360" w:lineRule="auto"/>
        <w:ind w:left="336" w:firstLine="0"/>
        <w:rPr>
          <w:rFonts w:hAnsi="宋体"/>
          <w:b/>
          <w:bCs/>
          <w:sz w:val="24"/>
        </w:rPr>
      </w:pPr>
      <w:r>
        <w:rPr>
          <w:rFonts w:hint="eastAsia"/>
          <w:b/>
          <w:bCs/>
          <w:sz w:val="24"/>
          <w:lang w:val="en-US" w:eastAsia="zh-CN"/>
        </w:rPr>
        <w:t>4、</w:t>
      </w:r>
      <w:r>
        <w:rPr>
          <w:rFonts w:hint="eastAsia"/>
          <w:b/>
          <w:bCs/>
          <w:sz w:val="24"/>
        </w:rPr>
        <w:t>以上表中内容必须计算机录入、填写、打印。手写按无效报价处理。</w:t>
      </w:r>
    </w:p>
    <w:p w14:paraId="787B06CD">
      <w:pPr>
        <w:adjustRightInd w:val="0"/>
        <w:snapToGrid w:val="0"/>
        <w:rPr>
          <w:rFonts w:ascii="宋体" w:hAnsi="宋体"/>
          <w:b/>
          <w:sz w:val="24"/>
        </w:rPr>
      </w:pPr>
    </w:p>
    <w:p w14:paraId="063C74A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7EBC0559">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7352401F">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14:paraId="1515547C">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14:paraId="2FE5D26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14:paraId="04129724">
      <w:pPr>
        <w:rPr>
          <w:rFonts w:ascii="仿宋" w:hAnsi="仿宋" w:eastAsia="仿宋" w:cs="宋体"/>
          <w:b/>
          <w:sz w:val="24"/>
          <w:szCs w:val="24"/>
        </w:rPr>
      </w:pPr>
    </w:p>
    <w:p w14:paraId="6AAB4134">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25D0B54E">
      <w:pPr>
        <w:rPr>
          <w:rFonts w:ascii="仿宋" w:hAnsi="仿宋" w:eastAsia="仿宋" w:cs="Tahoma"/>
          <w:b/>
          <w:sz w:val="24"/>
        </w:rPr>
      </w:pPr>
    </w:p>
    <w:p w14:paraId="007CAD23">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14:paraId="020B781D">
      <w:pPr>
        <w:rPr>
          <w:rFonts w:ascii="仿宋" w:hAnsi="仿宋" w:eastAsia="仿宋"/>
          <w:b/>
          <w:sz w:val="28"/>
          <w:szCs w:val="28"/>
        </w:rPr>
      </w:pPr>
      <w:r>
        <w:rPr>
          <w:rFonts w:hint="eastAsia" w:ascii="仿宋" w:hAnsi="仿宋" w:eastAsia="仿宋" w:cs="宋体"/>
          <w:b/>
          <w:sz w:val="24"/>
          <w:szCs w:val="24"/>
        </w:rPr>
        <w:t>附件3</w:t>
      </w:r>
    </w:p>
    <w:p w14:paraId="41C35A17">
      <w:pPr>
        <w:pStyle w:val="5"/>
        <w:spacing w:before="0" w:after="0" w:line="400" w:lineRule="exact"/>
        <w:rPr>
          <w:rFonts w:ascii="仿宋" w:hAnsi="仿宋" w:eastAsia="仿宋" w:cs="宋体"/>
          <w:szCs w:val="28"/>
        </w:rPr>
      </w:pPr>
    </w:p>
    <w:p w14:paraId="222C388A">
      <w:pPr>
        <w:pStyle w:val="5"/>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14:paraId="72C42F37">
      <w:pPr>
        <w:jc w:val="center"/>
        <w:rPr>
          <w:rFonts w:ascii="仿宋" w:hAnsi="仿宋" w:eastAsia="仿宋" w:cs="仿宋"/>
          <w:sz w:val="23"/>
          <w:szCs w:val="23"/>
        </w:rPr>
      </w:pPr>
    </w:p>
    <w:p w14:paraId="51E0E49C">
      <w:pPr>
        <w:pStyle w:val="18"/>
        <w:widowControl w:val="0"/>
        <w:spacing w:line="480" w:lineRule="auto"/>
        <w:ind w:firstLine="0" w:firstLineChars="0"/>
        <w:jc w:val="left"/>
        <w:textAlignment w:val="auto"/>
        <w:rPr>
          <w:rFonts w:ascii="仿宋" w:hAnsi="仿宋" w:eastAsia="仿宋" w:cs="仿宋"/>
          <w:sz w:val="24"/>
          <w:szCs w:val="24"/>
        </w:rPr>
      </w:pPr>
    </w:p>
    <w:p w14:paraId="0C7579E4">
      <w:pPr>
        <w:pStyle w:val="18"/>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08DB9F0">
      <w:pPr>
        <w:pStyle w:val="18"/>
        <w:ind w:firstLine="480"/>
        <w:jc w:val="left"/>
        <w:rPr>
          <w:rFonts w:ascii="仿宋" w:hAnsi="仿宋" w:eastAsia="仿宋" w:cs="宋体"/>
          <w:sz w:val="24"/>
          <w:szCs w:val="24"/>
        </w:rPr>
      </w:pPr>
    </w:p>
    <w:p w14:paraId="506192EE">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7E7636BC">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2E3B43D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4FED761">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7F5B3237">
      <w:pPr>
        <w:pStyle w:val="2"/>
        <w:ind w:firstLine="4800" w:firstLineChars="2000"/>
      </w:pPr>
      <w:r>
        <w:rPr>
          <w:rFonts w:hint="eastAsia" w:ascii="仿宋" w:hAnsi="仿宋" w:eastAsia="仿宋" w:cs="宋体"/>
          <w:sz w:val="24"/>
          <w:szCs w:val="24"/>
          <w:lang w:val="en-US" w:eastAsia="zh-CN"/>
        </w:rPr>
        <w:t>联 系 电 话：</w:t>
      </w:r>
    </w:p>
    <w:p w14:paraId="62C66568">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7EB356ED">
      <w:pPr>
        <w:rPr>
          <w:rFonts w:ascii="仿宋" w:hAnsi="仿宋" w:eastAsia="仿宋" w:cs="宋体"/>
          <w:b/>
          <w:sz w:val="24"/>
          <w:szCs w:val="24"/>
        </w:rPr>
      </w:pPr>
    </w:p>
    <w:p w14:paraId="25E8F9BF">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64D135F">
      <w:pPr>
        <w:rPr>
          <w:rFonts w:ascii="仿宋" w:hAnsi="仿宋" w:eastAsia="仿宋" w:cs="Tahoma"/>
          <w:b/>
          <w:sz w:val="24"/>
        </w:rPr>
      </w:pPr>
    </w:p>
    <w:p w14:paraId="7641C0EC">
      <w:pPr>
        <w:rPr>
          <w:rFonts w:ascii="仿宋" w:hAnsi="仿宋" w:eastAsia="仿宋" w:cs="Tahoma"/>
          <w:b/>
          <w:sz w:val="24"/>
        </w:rPr>
      </w:pPr>
    </w:p>
    <w:p w14:paraId="4EB7AB82">
      <w:pPr>
        <w:rPr>
          <w:rFonts w:ascii="仿宋" w:hAnsi="仿宋" w:eastAsia="仿宋" w:cs="Tahoma"/>
          <w:b/>
          <w:sz w:val="24"/>
        </w:rPr>
      </w:pPr>
    </w:p>
    <w:p w14:paraId="26FA63E2">
      <w:pPr>
        <w:pStyle w:val="11"/>
        <w:rPr>
          <w:rFonts w:ascii="仿宋" w:hAnsi="仿宋" w:eastAsia="仿宋" w:cs="Tahoma"/>
          <w:b/>
          <w:sz w:val="24"/>
        </w:rPr>
      </w:pPr>
    </w:p>
    <w:p w14:paraId="285493A2">
      <w:pPr>
        <w:rPr>
          <w:rFonts w:ascii="仿宋" w:hAnsi="仿宋" w:eastAsia="仿宋" w:cs="Tahoma"/>
          <w:b/>
          <w:sz w:val="24"/>
        </w:rPr>
      </w:pPr>
    </w:p>
    <w:p w14:paraId="301D5A69">
      <w:pPr>
        <w:pStyle w:val="11"/>
        <w:rPr>
          <w:rFonts w:ascii="仿宋" w:hAnsi="仿宋" w:eastAsia="仿宋" w:cs="Tahoma"/>
          <w:b/>
          <w:sz w:val="24"/>
        </w:rPr>
      </w:pPr>
    </w:p>
    <w:p w14:paraId="30D04E83">
      <w:pPr>
        <w:rPr>
          <w:rFonts w:ascii="仿宋" w:hAnsi="仿宋" w:eastAsia="仿宋" w:cs="Tahoma"/>
          <w:b/>
          <w:sz w:val="24"/>
        </w:rPr>
      </w:pPr>
    </w:p>
    <w:p w14:paraId="29D9271B">
      <w:pPr>
        <w:pStyle w:val="11"/>
        <w:rPr>
          <w:rFonts w:ascii="仿宋" w:hAnsi="仿宋" w:eastAsia="仿宋" w:cs="Tahoma"/>
          <w:b/>
          <w:sz w:val="24"/>
        </w:rPr>
      </w:pPr>
    </w:p>
    <w:p w14:paraId="7CA4CE75">
      <w:pPr>
        <w:rPr>
          <w:rFonts w:ascii="仿宋" w:hAnsi="仿宋" w:eastAsia="仿宋" w:cs="Tahoma"/>
          <w:b/>
          <w:sz w:val="24"/>
        </w:rPr>
      </w:pPr>
    </w:p>
    <w:p w14:paraId="52FDA138">
      <w:pPr>
        <w:pStyle w:val="11"/>
        <w:rPr>
          <w:rFonts w:ascii="仿宋" w:hAnsi="仿宋" w:eastAsia="仿宋"/>
        </w:rPr>
      </w:pPr>
    </w:p>
    <w:p w14:paraId="666F9794">
      <w:pPr>
        <w:rPr>
          <w:rFonts w:ascii="仿宋" w:hAnsi="仿宋" w:eastAsia="仿宋" w:cs="Tahoma"/>
          <w:b/>
          <w:sz w:val="24"/>
        </w:rPr>
      </w:pPr>
    </w:p>
    <w:p w14:paraId="0F825A4C">
      <w:pPr>
        <w:rPr>
          <w:rFonts w:ascii="仿宋" w:hAnsi="仿宋" w:eastAsia="仿宋" w:cs="Tahoma"/>
          <w:b/>
          <w:sz w:val="24"/>
        </w:rPr>
      </w:pPr>
    </w:p>
    <w:p w14:paraId="52EAC708">
      <w:pPr>
        <w:rPr>
          <w:rFonts w:ascii="仿宋" w:hAnsi="仿宋" w:eastAsia="仿宋"/>
        </w:rPr>
      </w:pPr>
      <w:r>
        <w:rPr>
          <w:rFonts w:hint="eastAsia" w:ascii="仿宋" w:hAnsi="仿宋" w:eastAsia="仿宋" w:cs="Tahoma"/>
          <w:b/>
          <w:sz w:val="24"/>
        </w:rPr>
        <w:t>附件4</w:t>
      </w:r>
    </w:p>
    <w:p w14:paraId="2E1F4CCC">
      <w:pPr>
        <w:pStyle w:val="18"/>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60FDDD8B">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14:paraId="3AF0DBC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76CF6EF6">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5392584B">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136CFE6A">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14:paraId="154FC1F3">
      <w:pPr>
        <w:pStyle w:val="18"/>
        <w:ind w:firstLine="560"/>
        <w:rPr>
          <w:rFonts w:ascii="仿宋" w:hAnsi="仿宋" w:eastAsia="仿宋" w:cs="宋体"/>
          <w:sz w:val="28"/>
          <w:szCs w:val="28"/>
        </w:rPr>
      </w:pPr>
    </w:p>
    <w:tbl>
      <w:tblPr>
        <w:tblStyle w:val="1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21B377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C12F355">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74B1DB1F">
            <w:pPr>
              <w:spacing w:line="500" w:lineRule="exact"/>
              <w:rPr>
                <w:rFonts w:ascii="仿宋" w:hAnsi="仿宋" w:eastAsia="仿宋" w:cs="宋体"/>
                <w:sz w:val="24"/>
                <w:szCs w:val="24"/>
              </w:rPr>
            </w:pPr>
          </w:p>
        </w:tc>
      </w:tr>
      <w:tr w14:paraId="1BE59D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070A3317">
            <w:pPr>
              <w:spacing w:line="500" w:lineRule="exact"/>
              <w:rPr>
                <w:rFonts w:ascii="仿宋" w:hAnsi="仿宋" w:eastAsia="仿宋" w:cs="宋体"/>
                <w:sz w:val="24"/>
                <w:szCs w:val="24"/>
              </w:rPr>
            </w:pPr>
          </w:p>
        </w:tc>
      </w:tr>
    </w:tbl>
    <w:p w14:paraId="16F495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14:paraId="218E2E8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14:paraId="076CE330">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0D02B7F2">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7DF2E51A">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1CE431B8">
      <w:pPr>
        <w:spacing w:line="500" w:lineRule="exact"/>
        <w:ind w:left="4599" w:leftChars="2190"/>
        <w:rPr>
          <w:rFonts w:ascii="仿宋" w:hAnsi="仿宋" w:eastAsia="仿宋" w:cs="宋体"/>
          <w:sz w:val="24"/>
          <w:szCs w:val="24"/>
        </w:rPr>
      </w:pPr>
    </w:p>
    <w:p w14:paraId="10B797F1">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8775610">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76C003C6">
      <w:pPr>
        <w:pStyle w:val="18"/>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3E77355F">
      <w:pPr>
        <w:pStyle w:val="8"/>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7FA379C3">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174A31B4">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2DA673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DC4BCFD">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6A990219">
            <w:pPr>
              <w:spacing w:line="500" w:lineRule="exact"/>
              <w:rPr>
                <w:rFonts w:ascii="仿宋" w:hAnsi="仿宋" w:eastAsia="仿宋" w:cs="宋体"/>
                <w:sz w:val="24"/>
                <w:szCs w:val="24"/>
              </w:rPr>
            </w:pPr>
          </w:p>
        </w:tc>
      </w:tr>
      <w:tr w14:paraId="1C5A5D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6E38CDB">
            <w:pPr>
              <w:spacing w:line="500" w:lineRule="exact"/>
              <w:rPr>
                <w:rFonts w:ascii="仿宋" w:hAnsi="仿宋" w:eastAsia="仿宋" w:cs="宋体"/>
                <w:sz w:val="24"/>
                <w:szCs w:val="24"/>
              </w:rPr>
            </w:pPr>
          </w:p>
        </w:tc>
      </w:tr>
    </w:tbl>
    <w:p w14:paraId="5B7CCDF3">
      <w:pPr>
        <w:spacing w:line="500" w:lineRule="exact"/>
        <w:ind w:firstLine="480" w:firstLineChars="200"/>
        <w:rPr>
          <w:rFonts w:ascii="仿宋" w:hAnsi="仿宋" w:eastAsia="仿宋" w:cs="宋体"/>
          <w:sz w:val="24"/>
          <w:szCs w:val="24"/>
        </w:rPr>
      </w:pPr>
    </w:p>
    <w:p w14:paraId="1F7AC653">
      <w:pPr>
        <w:spacing w:line="500" w:lineRule="exact"/>
        <w:ind w:firstLine="4200" w:firstLineChars="1750"/>
        <w:jc w:val="left"/>
        <w:rPr>
          <w:rFonts w:ascii="仿宋" w:hAnsi="仿宋" w:eastAsia="仿宋" w:cs="宋体"/>
          <w:sz w:val="24"/>
          <w:szCs w:val="24"/>
        </w:rPr>
      </w:pPr>
    </w:p>
    <w:p w14:paraId="2E0D6C6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14:paraId="68EDA5AF">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4B09EA8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A46646A">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2F59F9E4">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5870CCB4">
      <w:pPr>
        <w:pStyle w:val="2"/>
        <w:ind w:firstLine="4320" w:firstLineChars="1800"/>
      </w:pPr>
      <w:r>
        <w:rPr>
          <w:rFonts w:hint="eastAsia" w:ascii="仿宋" w:hAnsi="仿宋" w:eastAsia="仿宋" w:cs="宋体"/>
          <w:sz w:val="24"/>
          <w:szCs w:val="24"/>
          <w:lang w:val="en-US" w:eastAsia="zh-CN"/>
        </w:rPr>
        <w:t>联 系 电 话：</w:t>
      </w:r>
    </w:p>
    <w:p w14:paraId="2CED17DA">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79CD30B3">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headerReference r:id="rId7" w:type="default"/>
      <w:footerReference r:id="rId8"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3C74">
    <w:pPr>
      <w:pStyle w:val="9"/>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7DA3">
    <w:pPr>
      <w:pStyle w:val="9"/>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14:paraId="471EE7C7">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388E">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35C7">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F1526"/>
    <w:rsid w:val="000F32EA"/>
    <w:rsid w:val="00114EED"/>
    <w:rsid w:val="00226621"/>
    <w:rsid w:val="003B08EF"/>
    <w:rsid w:val="004E7EE2"/>
    <w:rsid w:val="005E3C03"/>
    <w:rsid w:val="00627926"/>
    <w:rsid w:val="006F05EE"/>
    <w:rsid w:val="00945B16"/>
    <w:rsid w:val="00952F47"/>
    <w:rsid w:val="009C02F6"/>
    <w:rsid w:val="009D51A1"/>
    <w:rsid w:val="00A723FD"/>
    <w:rsid w:val="00AD7338"/>
    <w:rsid w:val="00AF1526"/>
    <w:rsid w:val="00E155A3"/>
    <w:rsid w:val="01096F6B"/>
    <w:rsid w:val="010A3C11"/>
    <w:rsid w:val="01EA746E"/>
    <w:rsid w:val="09A625C3"/>
    <w:rsid w:val="0BB377CC"/>
    <w:rsid w:val="0CDA25BD"/>
    <w:rsid w:val="0CDD636F"/>
    <w:rsid w:val="0D4C18E6"/>
    <w:rsid w:val="0DC3142E"/>
    <w:rsid w:val="0DD31A38"/>
    <w:rsid w:val="0F096081"/>
    <w:rsid w:val="0F4022C5"/>
    <w:rsid w:val="0F436EBB"/>
    <w:rsid w:val="0F804EF3"/>
    <w:rsid w:val="0F826515"/>
    <w:rsid w:val="101C3B08"/>
    <w:rsid w:val="106552F2"/>
    <w:rsid w:val="130A3D40"/>
    <w:rsid w:val="14522278"/>
    <w:rsid w:val="15997A33"/>
    <w:rsid w:val="15EF4218"/>
    <w:rsid w:val="175A3AFC"/>
    <w:rsid w:val="191D7F9E"/>
    <w:rsid w:val="19895BAB"/>
    <w:rsid w:val="198D1D00"/>
    <w:rsid w:val="1A5B10E6"/>
    <w:rsid w:val="1DD1357B"/>
    <w:rsid w:val="203B5B89"/>
    <w:rsid w:val="229E06BC"/>
    <w:rsid w:val="244A5ABF"/>
    <w:rsid w:val="24D60201"/>
    <w:rsid w:val="26D7485F"/>
    <w:rsid w:val="277579AE"/>
    <w:rsid w:val="27822A1D"/>
    <w:rsid w:val="291E3BF2"/>
    <w:rsid w:val="2B685823"/>
    <w:rsid w:val="31B46950"/>
    <w:rsid w:val="31BF73CA"/>
    <w:rsid w:val="32B229CF"/>
    <w:rsid w:val="336F7A6E"/>
    <w:rsid w:val="34000165"/>
    <w:rsid w:val="357235B0"/>
    <w:rsid w:val="35DC779C"/>
    <w:rsid w:val="363007F9"/>
    <w:rsid w:val="372907BF"/>
    <w:rsid w:val="39D76BE6"/>
    <w:rsid w:val="3A303F92"/>
    <w:rsid w:val="3E5D7BEC"/>
    <w:rsid w:val="3E8F08E7"/>
    <w:rsid w:val="4021297B"/>
    <w:rsid w:val="40716A01"/>
    <w:rsid w:val="40AB493B"/>
    <w:rsid w:val="412E060C"/>
    <w:rsid w:val="456C25FC"/>
    <w:rsid w:val="45CF3280"/>
    <w:rsid w:val="45F002A7"/>
    <w:rsid w:val="46576242"/>
    <w:rsid w:val="476F66C2"/>
    <w:rsid w:val="479D0E36"/>
    <w:rsid w:val="48B5567E"/>
    <w:rsid w:val="4A3C125E"/>
    <w:rsid w:val="4B683B54"/>
    <w:rsid w:val="4CFC3745"/>
    <w:rsid w:val="4FF53C2E"/>
    <w:rsid w:val="52375EE9"/>
    <w:rsid w:val="55625010"/>
    <w:rsid w:val="56236C6E"/>
    <w:rsid w:val="565232A8"/>
    <w:rsid w:val="58A61818"/>
    <w:rsid w:val="593523D4"/>
    <w:rsid w:val="5A1804F3"/>
    <w:rsid w:val="5CBF0AD5"/>
    <w:rsid w:val="62B91500"/>
    <w:rsid w:val="64754794"/>
    <w:rsid w:val="65A5047D"/>
    <w:rsid w:val="69761D66"/>
    <w:rsid w:val="699D2851"/>
    <w:rsid w:val="6ACE2AD5"/>
    <w:rsid w:val="6B717A97"/>
    <w:rsid w:val="6B882FFF"/>
    <w:rsid w:val="6C4223F3"/>
    <w:rsid w:val="6C4458B1"/>
    <w:rsid w:val="6C5A561B"/>
    <w:rsid w:val="6EF16E80"/>
    <w:rsid w:val="6F1F316A"/>
    <w:rsid w:val="72053B38"/>
    <w:rsid w:val="72835283"/>
    <w:rsid w:val="72B86977"/>
    <w:rsid w:val="72F0183F"/>
    <w:rsid w:val="72FF004B"/>
    <w:rsid w:val="742044DB"/>
    <w:rsid w:val="75CA4A02"/>
    <w:rsid w:val="777D59E2"/>
    <w:rsid w:val="77C3795E"/>
    <w:rsid w:val="78FB1659"/>
    <w:rsid w:val="7B3702FB"/>
    <w:rsid w:val="7BF61AF7"/>
    <w:rsid w:val="7C474522"/>
    <w:rsid w:val="7C4B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9"/>
    <w:qFormat/>
    <w:uiPriority w:val="0"/>
    <w:pPr>
      <w:keepNext/>
      <w:keepLines/>
      <w:spacing w:before="340" w:after="330" w:line="240" w:lineRule="auto"/>
    </w:pPr>
    <w:rPr>
      <w:bCs/>
      <w:kern w:val="44"/>
      <w:sz w:val="28"/>
      <w:szCs w:val="44"/>
    </w:rPr>
  </w:style>
  <w:style w:type="paragraph" w:styleId="5">
    <w:name w:val="heading 2"/>
    <w:basedOn w:val="1"/>
    <w:next w:val="1"/>
    <w:link w:val="20"/>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0"/>
    <w:pPr>
      <w:widowControl w:val="0"/>
      <w:spacing w:line="240" w:lineRule="auto"/>
      <w:textAlignment w:val="auto"/>
    </w:pPr>
    <w:rPr>
      <w:rFonts w:ascii="宋体" w:hAnsi="Courier New"/>
      <w:color w:val="auto"/>
      <w:sz w:val="20"/>
      <w:szCs w:val="24"/>
    </w:rPr>
  </w:style>
  <w:style w:type="paragraph" w:styleId="9">
    <w:name w:val="footer"/>
    <w:basedOn w:val="1"/>
    <w:qFormat/>
    <w:uiPriority w:val="0"/>
    <w:pPr>
      <w:snapToGrid w:val="0"/>
      <w:spacing w:line="240" w:lineRule="atLeast"/>
      <w:jc w:val="left"/>
    </w:pPr>
    <w:rPr>
      <w:sz w:val="18"/>
    </w:rPr>
  </w:style>
  <w:style w:type="paragraph" w:styleId="10">
    <w:name w:val="header"/>
    <w:basedOn w:val="1"/>
    <w:link w:val="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paragraph" w:customStyle="1" w:styleId="18">
    <w:name w:val="_Style 3"/>
    <w:basedOn w:val="1"/>
    <w:qFormat/>
    <w:uiPriority w:val="0"/>
    <w:pPr>
      <w:ind w:firstLine="420" w:firstLineChars="200"/>
    </w:pPr>
    <w:rPr>
      <w:sz w:val="20"/>
    </w:rPr>
  </w:style>
  <w:style w:type="character" w:customStyle="1" w:styleId="19">
    <w:name w:val="标题 1 字符"/>
    <w:basedOn w:val="15"/>
    <w:link w:val="3"/>
    <w:qFormat/>
    <w:uiPriority w:val="0"/>
    <w:rPr>
      <w:rFonts w:ascii="Arial" w:hAnsi="Arial" w:eastAsia="宋体" w:cs="Times New Roman"/>
      <w:b/>
      <w:bCs/>
      <w:kern w:val="44"/>
      <w:sz w:val="28"/>
      <w:szCs w:val="44"/>
    </w:rPr>
  </w:style>
  <w:style w:type="character" w:customStyle="1" w:styleId="20">
    <w:name w:val="标题 2 字符"/>
    <w:basedOn w:val="15"/>
    <w:link w:val="5"/>
    <w:qFormat/>
    <w:uiPriority w:val="0"/>
    <w:rPr>
      <w:rFonts w:ascii="Arial" w:hAnsi="Arial" w:eastAsia="宋体" w:cs="Times New Roman"/>
      <w:b/>
      <w:bCs/>
      <w:kern w:val="0"/>
      <w:sz w:val="24"/>
      <w:szCs w:val="32"/>
    </w:rPr>
  </w:style>
  <w:style w:type="paragraph" w:customStyle="1" w:styleId="21">
    <w:name w:val="表格文字"/>
    <w:basedOn w:val="1"/>
    <w:qFormat/>
    <w:uiPriority w:val="0"/>
    <w:pPr>
      <w:spacing w:before="25" w:after="25"/>
      <w:jc w:val="left"/>
    </w:pPr>
    <w:rPr>
      <w:bCs/>
      <w:spacing w:val="10"/>
      <w:sz w:val="24"/>
    </w:rPr>
  </w:style>
  <w:style w:type="paragraph" w:styleId="22">
    <w:name w:val="List Paragraph"/>
    <w:basedOn w:val="1"/>
    <w:qFormat/>
    <w:uiPriority w:val="99"/>
    <w:pPr>
      <w:ind w:firstLine="420" w:firstLineChars="200"/>
    </w:p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character" w:customStyle="1" w:styleId="38">
    <w:name w:val="页眉 字符"/>
    <w:basedOn w:val="15"/>
    <w:link w:val="1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6573</Words>
  <Characters>6975</Characters>
  <Lines>53</Lines>
  <Paragraphs>15</Paragraphs>
  <TotalTime>6</TotalTime>
  <ScaleCrop>false</ScaleCrop>
  <LinksUpToDate>false</LinksUpToDate>
  <CharactersWithSpaces>7364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余老师</cp:lastModifiedBy>
  <cp:lastPrinted>2023-06-02T08:51:00Z</cp:lastPrinted>
  <dcterms:modified xsi:type="dcterms:W3CDTF">2025-06-12T07:04:00Z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22B44E4F3ED34C16850A495B7A100EBF</vt:lpwstr>
  </property>
  <property fmtid="{D5CDD505-2E9C-101B-9397-08002B2CF9AE}" pid="4" name="KSOTemplateDocerSaveRecord">
    <vt:lpwstr>eyJoZGlkIjoiNGFkNjYyZjU5OWNlN2U5Y2I2M2MxYTBiNTIyMWRlOTgiLCJ1c2VySWQiOiIyNzI0NDcwOTgifQ==</vt:lpwstr>
  </property>
</Properties>
</file>