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rPr>
          <w:rFonts w:ascii="方正小标宋简体" w:hAnsi="方正小标宋简体" w:eastAsia="方正小标宋简体" w:cs="方正小标宋简体"/>
          <w:b/>
          <w:sz w:val="72"/>
          <w:szCs w:val="72"/>
        </w:rPr>
      </w:pPr>
    </w:p>
    <w:p>
      <w:pPr>
        <w:adjustRightInd w:val="0"/>
        <w:snapToGrid w:val="0"/>
        <w:spacing w:line="760" w:lineRule="exact"/>
        <w:jc w:val="center"/>
        <w:rPr>
          <w:rFonts w:ascii="方正小标宋简体" w:hAnsi="方正小标宋简体" w:eastAsia="方正小标宋简体" w:cs="方正小标宋简体"/>
          <w:b/>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52"/>
          <w:szCs w:val="52"/>
        </w:rPr>
      </w:pPr>
      <w:r>
        <w:rPr>
          <w:rFonts w:hint="eastAsia" w:ascii="宋体" w:hAnsi="宋体" w:eastAsia="宋体" w:cs="宋体"/>
          <w:b/>
          <w:sz w:val="52"/>
          <w:szCs w:val="52"/>
        </w:rPr>
        <w:t>广东财经大学佛山校区</w:t>
      </w:r>
      <w:r>
        <w:rPr>
          <w:rFonts w:hint="eastAsia" w:ascii="宋体" w:hAnsi="宋体" w:eastAsia="宋体" w:cs="宋体"/>
          <w:b/>
          <w:sz w:val="52"/>
          <w:szCs w:val="52"/>
          <w:lang w:val="en-US" w:eastAsia="zh-CN"/>
        </w:rPr>
        <w:t>第三食堂公开</w:t>
      </w:r>
      <w:r>
        <w:rPr>
          <w:rFonts w:hint="eastAsia" w:ascii="宋体" w:hAnsi="宋体" w:cs="宋体"/>
          <w:b/>
          <w:sz w:val="52"/>
          <w:szCs w:val="52"/>
          <w:lang w:val="en-US" w:eastAsia="zh-CN"/>
        </w:rPr>
        <w:t>招标夜宵档口餐饮服务项目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44"/>
        </w:rPr>
      </w:pPr>
    </w:p>
    <w:p>
      <w:pPr>
        <w:adjustRightInd w:val="0"/>
        <w:snapToGrid w:val="0"/>
        <w:spacing w:line="300" w:lineRule="auto"/>
        <w:jc w:val="center"/>
        <w:rPr>
          <w:rFonts w:ascii="宋体" w:cs="宋体"/>
          <w:b/>
          <w:sz w:val="52"/>
          <w:szCs w:val="52"/>
        </w:rPr>
      </w:pPr>
    </w:p>
    <w:p>
      <w:pPr>
        <w:adjustRightInd w:val="0"/>
        <w:snapToGrid w:val="0"/>
        <w:spacing w:line="300" w:lineRule="auto"/>
        <w:jc w:val="center"/>
        <w:rPr>
          <w:rFonts w:ascii="宋体" w:cs="宋体"/>
          <w:b/>
          <w:sz w:val="52"/>
          <w:szCs w:val="52"/>
        </w:rPr>
      </w:pPr>
    </w:p>
    <w:p>
      <w:pPr>
        <w:adjustRightInd w:val="0"/>
        <w:snapToGrid w:val="0"/>
        <w:spacing w:line="760" w:lineRule="exact"/>
        <w:jc w:val="center"/>
        <w:rPr>
          <w:rFonts w:hint="eastAsia" w:ascii="宋体" w:hAnsi="宋体" w:eastAsia="宋体" w:cs="宋体"/>
          <w:b/>
          <w:sz w:val="52"/>
          <w:szCs w:val="52"/>
        </w:rPr>
      </w:pPr>
      <w:r>
        <w:rPr>
          <w:rFonts w:hint="eastAsia" w:ascii="宋体" w:hAnsi="宋体" w:eastAsia="宋体" w:cs="宋体"/>
          <w:b/>
          <w:sz w:val="52"/>
          <w:szCs w:val="52"/>
        </w:rPr>
        <w:t>招标文件</w:t>
      </w: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300" w:lineRule="auto"/>
        <w:rPr>
          <w:rFonts w:ascii="方正小标宋简体" w:hAnsi="方正小标宋简体" w:eastAsia="方正小标宋简体" w:cs="方正小标宋简体"/>
          <w:b/>
          <w:sz w:val="32"/>
          <w:szCs w:val="32"/>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760" w:lineRule="exact"/>
        <w:jc w:val="center"/>
        <w:rPr>
          <w:rFonts w:hint="eastAsia" w:ascii="宋体" w:hAnsi="宋体" w:eastAsia="宋体" w:cs="宋体"/>
          <w:b/>
          <w:sz w:val="32"/>
          <w:szCs w:val="32"/>
        </w:rPr>
      </w:pPr>
      <w:r>
        <w:rPr>
          <w:rFonts w:hint="eastAsia" w:ascii="宋体" w:hAnsi="宋体" w:eastAsia="宋体" w:cs="宋体"/>
          <w:b/>
          <w:sz w:val="32"/>
          <w:szCs w:val="32"/>
        </w:rPr>
        <w:t>招 标 人：广东财经大学佛山校区管委会</w:t>
      </w:r>
    </w:p>
    <w:p>
      <w:pPr>
        <w:adjustRightInd w:val="0"/>
        <w:snapToGrid w:val="0"/>
        <w:spacing w:line="760" w:lineRule="exact"/>
        <w:jc w:val="center"/>
        <w:rPr>
          <w:rFonts w:hint="eastAsia" w:ascii="宋体" w:hAnsi="宋体" w:eastAsia="宋体" w:cs="宋体"/>
          <w:b/>
          <w:sz w:val="32"/>
          <w:szCs w:val="32"/>
        </w:rPr>
      </w:pPr>
    </w:p>
    <w:p>
      <w:pPr>
        <w:adjustRightInd w:val="0"/>
        <w:snapToGrid w:val="0"/>
        <w:spacing w:line="760" w:lineRule="exact"/>
        <w:jc w:val="center"/>
        <w:rPr>
          <w:rFonts w:hint="eastAsia" w:ascii="宋体" w:hAnsi="宋体" w:eastAsia="宋体" w:cs="宋体"/>
          <w:b/>
          <w:sz w:val="32"/>
          <w:szCs w:val="32"/>
        </w:rPr>
      </w:pPr>
      <w:r>
        <w:rPr>
          <w:rFonts w:hint="eastAsia" w:ascii="宋体" w:hAnsi="宋体" w:eastAsia="宋体" w:cs="宋体"/>
          <w:b/>
          <w:sz w:val="32"/>
          <w:szCs w:val="32"/>
        </w:rPr>
        <w:t>二O二二年</w:t>
      </w:r>
      <w:r>
        <w:rPr>
          <w:rFonts w:hint="eastAsia" w:ascii="宋体" w:hAnsi="宋体" w:eastAsia="宋体" w:cs="宋体"/>
          <w:b/>
          <w:sz w:val="32"/>
          <w:szCs w:val="32"/>
          <w:lang w:val="en-US" w:eastAsia="zh-CN"/>
        </w:rPr>
        <w:t>十</w:t>
      </w:r>
      <w:r>
        <w:rPr>
          <w:rFonts w:hint="eastAsia" w:ascii="宋体" w:hAnsi="宋体" w:cs="宋体"/>
          <w:b/>
          <w:sz w:val="32"/>
          <w:szCs w:val="32"/>
          <w:lang w:val="en-US" w:eastAsia="zh-CN"/>
        </w:rPr>
        <w:t>二</w:t>
      </w:r>
      <w:r>
        <w:rPr>
          <w:rFonts w:hint="eastAsia" w:ascii="宋体" w:hAnsi="宋体" w:eastAsia="宋体" w:cs="宋体"/>
          <w:b/>
          <w:sz w:val="32"/>
          <w:szCs w:val="32"/>
        </w:rPr>
        <w:t>月</w:t>
      </w:r>
    </w:p>
    <w:p>
      <w:pPr>
        <w:adjustRightInd w:val="0"/>
        <w:snapToGrid w:val="0"/>
        <w:spacing w:line="300" w:lineRule="auto"/>
        <w:rPr>
          <w:rFonts w:ascii="方正小标宋简体" w:hAnsi="方正小标宋简体" w:eastAsia="方正小标宋简体" w:cs="方正小标宋简体"/>
          <w:b/>
          <w:sz w:val="32"/>
          <w:szCs w:val="32"/>
        </w:rPr>
      </w:pPr>
    </w:p>
    <w:p>
      <w:pPr>
        <w:adjustRightInd w:val="0"/>
        <w:snapToGrid w:val="0"/>
        <w:spacing w:line="300" w:lineRule="auto"/>
        <w:rPr>
          <w:rFonts w:ascii="方正小标宋简体" w:hAnsi="方正小标宋简体" w:eastAsia="方正小标宋简体" w:cs="方正小标宋简体"/>
          <w:b/>
          <w:sz w:val="32"/>
          <w:szCs w:val="32"/>
        </w:rPr>
      </w:pPr>
    </w:p>
    <w:p>
      <w:pPr>
        <w:pStyle w:val="15"/>
        <w:spacing w:line="360" w:lineRule="auto"/>
        <w:rPr>
          <w:rFonts w:ascii="黑体" w:hAnsi="黑体" w:eastAsia="黑体" w:cs="黑体"/>
        </w:rPr>
      </w:pPr>
    </w:p>
    <w:p>
      <w:pPr>
        <w:rPr>
          <w:lang w:val="zh-CN"/>
        </w:rPr>
      </w:pPr>
    </w:p>
    <w:p>
      <w:pPr>
        <w:rPr>
          <w:lang w:val="zh-CN"/>
        </w:rPr>
      </w:pPr>
    </w:p>
    <w:p>
      <w:pPr>
        <w:pStyle w:val="15"/>
        <w:spacing w:line="360" w:lineRule="auto"/>
        <w:rPr>
          <w:rFonts w:ascii="黑体" w:hAnsi="黑体" w:eastAsia="黑体" w:cs="黑体"/>
        </w:rPr>
      </w:pPr>
    </w:p>
    <w:p>
      <w:pPr>
        <w:pStyle w:val="15"/>
        <w:spacing w:line="360" w:lineRule="auto"/>
        <w:rPr>
          <w:rFonts w:hint="eastAsia" w:ascii="宋体" w:hAnsi="宋体" w:eastAsia="宋体" w:cs="宋体"/>
        </w:rPr>
      </w:pPr>
      <w:r>
        <w:rPr>
          <w:rFonts w:hint="eastAsia" w:ascii="宋体" w:hAnsi="宋体" w:eastAsia="宋体" w:cs="宋体"/>
        </w:rPr>
        <w:t>目  录</w:t>
      </w:r>
    </w:p>
    <w:p>
      <w:pPr>
        <w:rPr>
          <w:rFonts w:ascii="??_GB2312" w:hAnsi="??_GB2312" w:cs="??_GB2312"/>
          <w:sz w:val="32"/>
          <w:szCs w:val="32"/>
          <w:lang w:val="zh-CN"/>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第一部分  招 标 公 告</w:t>
      </w:r>
    </w:p>
    <w:p>
      <w:pPr>
        <w:rPr>
          <w:rFonts w:hint="eastAsia" w:ascii="宋体" w:hAnsi="宋体" w:eastAsia="宋体" w:cs="宋体"/>
          <w:b/>
          <w:sz w:val="32"/>
          <w:szCs w:val="32"/>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第二部分</w:t>
      </w:r>
      <w:r>
        <w:rPr>
          <w:rStyle w:val="22"/>
          <w:rFonts w:hint="eastAsia" w:ascii="宋体" w:hAnsi="宋体" w:eastAsia="宋体" w:cs="宋体"/>
          <w:color w:val="000000"/>
          <w:sz w:val="32"/>
          <w:szCs w:val="32"/>
          <w:u w:val="none"/>
          <w:lang w:val="en-US"/>
        </w:rPr>
        <w:t xml:space="preserve">  </w:t>
      </w:r>
      <w:r>
        <w:rPr>
          <w:rStyle w:val="22"/>
          <w:rFonts w:hint="eastAsia" w:ascii="宋体" w:hAnsi="宋体" w:eastAsia="宋体" w:cs="宋体"/>
          <w:color w:val="000000"/>
          <w:sz w:val="32"/>
          <w:szCs w:val="32"/>
          <w:u w:val="none"/>
        </w:rPr>
        <w:t>投 标 须 知</w:t>
      </w:r>
    </w:p>
    <w:p>
      <w:pPr>
        <w:pStyle w:val="14"/>
        <w:spacing w:line="360" w:lineRule="auto"/>
        <w:rPr>
          <w:rStyle w:val="22"/>
          <w:rFonts w:hint="eastAsia" w:ascii="宋体" w:hAnsi="宋体" w:eastAsia="宋体" w:cs="宋体"/>
          <w:color w:val="000000"/>
          <w:sz w:val="32"/>
          <w:szCs w:val="32"/>
          <w:u w:val="none"/>
          <w:lang w:val="en-US"/>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第三部分  评 标 办 法 与 细 则</w:t>
      </w:r>
    </w:p>
    <w:p>
      <w:pPr>
        <w:pStyle w:val="14"/>
        <w:spacing w:line="360" w:lineRule="auto"/>
        <w:rPr>
          <w:rStyle w:val="22"/>
          <w:rFonts w:hint="eastAsia" w:ascii="宋体" w:hAnsi="宋体" w:eastAsia="宋体" w:cs="宋体"/>
          <w:color w:val="000000"/>
          <w:sz w:val="32"/>
          <w:szCs w:val="32"/>
          <w:u w:val="none"/>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第四部分  投 标 文 件 格 式</w:t>
      </w:r>
    </w:p>
    <w:p>
      <w:pPr>
        <w:pStyle w:val="14"/>
        <w:spacing w:line="360" w:lineRule="auto"/>
        <w:rPr>
          <w:rStyle w:val="22"/>
          <w:rFonts w:cs="宋体"/>
          <w:color w:val="000000"/>
          <w:sz w:val="32"/>
          <w:szCs w:val="32"/>
        </w:rPr>
      </w:pPr>
    </w:p>
    <w:p>
      <w:pPr>
        <w:rPr>
          <w:lang w:val="zh-CN"/>
        </w:rPr>
      </w:pPr>
    </w:p>
    <w:p>
      <w:pPr>
        <w:pStyle w:val="14"/>
        <w:spacing w:line="360" w:lineRule="auto"/>
        <w:rPr>
          <w:rStyle w:val="22"/>
          <w:rFonts w:cs="宋体"/>
          <w:color w:val="000000"/>
          <w:sz w:val="32"/>
          <w:szCs w:val="32"/>
          <w:u w:val="none"/>
        </w:rPr>
      </w:pPr>
    </w:p>
    <w:p/>
    <w:p>
      <w:pPr>
        <w:pStyle w:val="14"/>
        <w:spacing w:line="360" w:lineRule="auto"/>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pStyle w:val="4"/>
        <w:spacing w:before="0" w:after="0" w:line="400" w:lineRule="exact"/>
        <w:jc w:val="both"/>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jc w:val="both"/>
        <w:rPr>
          <w:rStyle w:val="22"/>
          <w:rFonts w:ascii="??_GB2312" w:hAnsi="??_GB2312" w:cs="??_GB2312"/>
          <w:color w:val="000000"/>
          <w:sz w:val="32"/>
          <w:u w:val="none"/>
        </w:rPr>
      </w:pPr>
    </w:p>
    <w:p>
      <w:pPr>
        <w:pStyle w:val="4"/>
        <w:numPr>
          <w:ilvl w:val="0"/>
          <w:numId w:val="0"/>
        </w:numPr>
        <w:spacing w:before="0" w:after="0" w:line="400" w:lineRule="exact"/>
        <w:ind w:firstLine="2891" w:firstLineChars="900"/>
        <w:jc w:val="both"/>
        <w:rPr>
          <w:rFonts w:hint="eastAsia" w:ascii="仿宋" w:hAnsi="仿宋" w:eastAsia="仿宋" w:cs="仿宋"/>
          <w:sz w:val="32"/>
          <w:szCs w:val="32"/>
        </w:rPr>
      </w:pPr>
      <w:bookmarkStart w:id="0" w:name="OLE_LINK3"/>
      <w:r>
        <w:rPr>
          <w:rFonts w:hint="eastAsia" w:ascii="仿宋" w:hAnsi="仿宋" w:eastAsia="仿宋" w:cs="仿宋"/>
          <w:sz w:val="32"/>
          <w:lang w:val="en-US" w:eastAsia="zh-CN"/>
        </w:rPr>
        <w:t>第一部分</w:t>
      </w:r>
      <w:r>
        <w:rPr>
          <w:rFonts w:hint="eastAsia" w:ascii="仿宋" w:hAnsi="仿宋" w:eastAsia="仿宋" w:cs="仿宋"/>
          <w:sz w:val="32"/>
        </w:rPr>
        <w:t xml:space="preserve"> </w:t>
      </w:r>
      <w:r>
        <w:rPr>
          <w:rFonts w:hint="eastAsia" w:ascii="仿宋" w:hAnsi="仿宋" w:eastAsia="仿宋" w:cs="仿宋"/>
          <w:sz w:val="32"/>
          <w:szCs w:val="32"/>
        </w:rPr>
        <w:t>招标公告</w:t>
      </w:r>
    </w:p>
    <w:p>
      <w:pPr>
        <w:pStyle w:val="4"/>
        <w:spacing w:before="0" w:after="0" w:line="400" w:lineRule="exact"/>
        <w:jc w:val="both"/>
        <w:rPr>
          <w:rFonts w:hint="eastAsia" w:ascii="仿宋" w:hAnsi="仿宋" w:eastAsia="仿宋" w:cs="仿宋"/>
          <w:sz w:val="36"/>
          <w:szCs w:val="36"/>
        </w:rPr>
      </w:pPr>
    </w:p>
    <w:bookmarkEnd w:id="0"/>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广东财经大学佛山校区管委会现对第三食堂夜宵档口餐饮服务项目进行公开招标，欢迎符合条件的企业和个人积极参加投标。</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2"/>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项目名称:广东财经大学佛山校区第三食堂公开招标夜宵档口餐饮服务合作项目。</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2"/>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项目内容：</w:t>
      </w:r>
    </w:p>
    <w:tbl>
      <w:tblPr>
        <w:tblStyle w:val="18"/>
        <w:tblpPr w:leftFromText="180" w:rightFromText="180" w:vertAnchor="text" w:horzAnchor="page" w:tblpX="1101" w:tblpY="270"/>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90"/>
        <w:gridCol w:w="1185"/>
        <w:gridCol w:w="2220"/>
        <w:gridCol w:w="990"/>
        <w:gridCol w:w="765"/>
        <w:gridCol w:w="91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94"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包组</w:t>
            </w:r>
          </w:p>
        </w:tc>
        <w:tc>
          <w:tcPr>
            <w:tcW w:w="990"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项目名称</w:t>
            </w:r>
          </w:p>
        </w:tc>
        <w:tc>
          <w:tcPr>
            <w:tcW w:w="1185"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项目地点</w:t>
            </w:r>
          </w:p>
        </w:tc>
        <w:tc>
          <w:tcPr>
            <w:tcW w:w="2220"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每月缴纳物价平抑基金费</w:t>
            </w:r>
          </w:p>
        </w:tc>
        <w:tc>
          <w:tcPr>
            <w:tcW w:w="990"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每月要求最低营业额</w:t>
            </w:r>
          </w:p>
        </w:tc>
        <w:tc>
          <w:tcPr>
            <w:tcW w:w="765"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合同期限</w:t>
            </w:r>
          </w:p>
        </w:tc>
        <w:tc>
          <w:tcPr>
            <w:tcW w:w="915"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履约保证金</w:t>
            </w:r>
          </w:p>
        </w:tc>
        <w:tc>
          <w:tcPr>
            <w:tcW w:w="2110"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694"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990"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夜宵烧烤档口</w:t>
            </w:r>
          </w:p>
        </w:tc>
        <w:tc>
          <w:tcPr>
            <w:tcW w:w="1185" w:type="dxa"/>
            <w:vAlign w:val="center"/>
          </w:tcPr>
          <w:p>
            <w:pPr>
              <w:keepNext w:val="0"/>
              <w:keepLines w:val="0"/>
              <w:widowControl/>
              <w:suppressLineNumbers w:val="0"/>
              <w:spacing w:before="225" w:beforeAutospacing="0" w:after="225" w:afterAutospacing="0"/>
              <w:ind w:left="0" w:right="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佛山校区第三食堂一楼北面</w:t>
            </w:r>
          </w:p>
        </w:tc>
        <w:tc>
          <w:tcPr>
            <w:tcW w:w="2220" w:type="dxa"/>
            <w:vAlign w:val="center"/>
          </w:tcPr>
          <w:p>
            <w:pPr>
              <w:keepNext w:val="0"/>
              <w:keepLines w:val="0"/>
              <w:widowControl/>
              <w:suppressLineNumbers w:val="0"/>
              <w:spacing w:before="225" w:beforeAutospacing="0" w:after="225" w:afterAutospacing="0"/>
              <w:ind w:left="0" w:right="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物价平抑基金费为投标价不低于0.45万元（综合得分最高者为中标人）</w:t>
            </w:r>
          </w:p>
        </w:tc>
        <w:tc>
          <w:tcPr>
            <w:tcW w:w="990" w:type="dxa"/>
          </w:tcPr>
          <w:p>
            <w:pPr>
              <w:keepNext w:val="0"/>
              <w:keepLines w:val="0"/>
              <w:widowControl/>
              <w:suppressLineNumbers w:val="0"/>
              <w:spacing w:before="225" w:beforeAutospacing="0" w:after="225" w:afterAutospacing="0"/>
              <w:ind w:left="0" w:right="0"/>
              <w:jc w:val="left"/>
              <w:rPr>
                <w:rFonts w:hint="eastAsia" w:ascii="仿宋_GB2312" w:hAnsi="仿宋_GB2312" w:eastAsia="仿宋_GB2312" w:cs="仿宋_GB2312"/>
                <w:kern w:val="2"/>
                <w:sz w:val="24"/>
                <w:szCs w:val="24"/>
                <w:lang w:val="en-US" w:eastAsia="zh-CN" w:bidi="ar-SA"/>
              </w:rPr>
            </w:pPr>
          </w:p>
        </w:tc>
        <w:tc>
          <w:tcPr>
            <w:tcW w:w="765"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3年</w:t>
            </w:r>
          </w:p>
        </w:tc>
        <w:tc>
          <w:tcPr>
            <w:tcW w:w="915"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5万元</w:t>
            </w:r>
          </w:p>
        </w:tc>
        <w:tc>
          <w:tcPr>
            <w:tcW w:w="2110" w:type="dxa"/>
            <w:vAlign w:val="center"/>
          </w:tcPr>
          <w:p>
            <w:pPr>
              <w:keepNext w:val="0"/>
              <w:keepLines w:val="0"/>
              <w:widowControl/>
              <w:suppressLineNumbers w:val="0"/>
              <w:spacing w:before="225" w:beforeAutospacing="0" w:after="225"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全场地约30m</w:t>
            </w: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kern w:val="2"/>
                <w:sz w:val="24"/>
                <w:szCs w:val="24"/>
                <w:lang w:val="en-US" w:eastAsia="zh-CN" w:bidi="ar-SA"/>
              </w:rPr>
              <w:t>,全部装修和设备自带</w:t>
            </w:r>
          </w:p>
        </w:tc>
      </w:tr>
    </w:tbl>
    <w:p>
      <w:pPr>
        <w:spacing w:line="340" w:lineRule="atLeas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经营范围：档口特色指定套餐等。</w:t>
      </w:r>
      <w:r>
        <w:rPr>
          <w:rFonts w:hint="eastAsia" w:ascii="仿宋" w:hAnsi="仿宋" w:eastAsia="仿宋" w:cs="仿宋"/>
          <w:sz w:val="28"/>
          <w:szCs w:val="28"/>
        </w:rPr>
        <w:t>不得超经营范围营业，未经</w:t>
      </w:r>
      <w:r>
        <w:rPr>
          <w:rFonts w:hint="eastAsia" w:ascii="仿宋" w:hAnsi="仿宋" w:eastAsia="仿宋" w:cs="仿宋"/>
          <w:sz w:val="28"/>
          <w:szCs w:val="28"/>
          <w:lang w:val="en-US" w:eastAsia="zh-CN"/>
        </w:rPr>
        <w:t>招标人</w:t>
      </w:r>
      <w:r>
        <w:rPr>
          <w:rFonts w:hint="eastAsia" w:ascii="仿宋" w:hAnsi="仿宋" w:eastAsia="仿宋" w:cs="仿宋"/>
          <w:sz w:val="28"/>
          <w:szCs w:val="28"/>
        </w:rPr>
        <w:t>批准，不得外购食品。不得经营超过现有的水、电、燃气等供应条件、经营条件和不符合要求的项目。未经</w:t>
      </w:r>
      <w:r>
        <w:rPr>
          <w:rFonts w:hint="eastAsia" w:ascii="仿宋" w:hAnsi="仿宋" w:eastAsia="仿宋" w:cs="仿宋"/>
          <w:sz w:val="28"/>
          <w:szCs w:val="28"/>
          <w:lang w:val="en-US" w:eastAsia="zh-CN"/>
        </w:rPr>
        <w:t>招标人</w:t>
      </w:r>
      <w:r>
        <w:rPr>
          <w:rFonts w:hint="eastAsia" w:ascii="仿宋" w:hAnsi="仿宋" w:eastAsia="仿宋" w:cs="仿宋"/>
          <w:sz w:val="28"/>
          <w:szCs w:val="28"/>
        </w:rPr>
        <w:t>书面同意，不得改变或增加经营项目。</w:t>
      </w:r>
      <w:r>
        <w:rPr>
          <w:rFonts w:hint="eastAsia" w:ascii="仿宋" w:hAnsi="仿宋" w:eastAsia="仿宋"/>
          <w:sz w:val="28"/>
          <w:szCs w:val="28"/>
        </w:rPr>
        <w:t>如需改变或增加经营项目的，须符合场地要求和校区规定，并须经校区管委会批准。</w:t>
      </w:r>
    </w:p>
    <w:p>
      <w:pPr>
        <w:widowControl/>
        <w:spacing w:line="400" w:lineRule="exact"/>
        <w:ind w:firstLine="562" w:firstLineChars="20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三、投标人资格合格条件（报名须提交相关的资料）</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pStyle w:val="2"/>
        <w:rPr>
          <w:rFonts w:hint="default"/>
          <w:lang w:val="en-US" w:eastAsia="zh-CN"/>
        </w:rPr>
      </w:pPr>
      <w:r>
        <w:rPr>
          <w:rFonts w:hint="eastAsia" w:ascii="仿宋" w:hAnsi="仿宋" w:eastAsia="仿宋" w:cs="Times New Roman"/>
          <w:kern w:val="2"/>
          <w:sz w:val="28"/>
          <w:szCs w:val="28"/>
          <w:lang w:val="en-US" w:eastAsia="zh-CN" w:bidi="ar-SA"/>
        </w:rPr>
        <w:t>2、企业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被列入信用“黑名单”。</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3、投标人须了解高校的教学、科研和生活的规律和要求，要有立足为师生提供优质服务的思想，有良好的思想素质和职业道德，充分认识学校饭堂具有明显的公益性的特点；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4、投标人近三年内在经营过程中没有违法行为和食物中毒事故。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5、本项目不接受联合体投标。</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四、其他：</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1、招标人对因不可抗力事件造成的投标文件的损坏、丢失不承担任何责任。</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2、投标人有下列情况之一的，其投标文书为无效标书：</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（1）未在规定的时间内将投标文书送达规定地点的。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（2）投标人的投标文件无法定代表人签字或无法人代表授权委托的。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（3）投标人的投标文书未按要求密封加盖公章的或者未按要求签字的。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（4）投标人不符合“合格的投标人”要求的。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（5）投标文件附有招标人不能接受的条件的。</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五、报名方式</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符合资格条件的企业请在2022年12月27日至2022年12月31日（8：30～11：30，15:00～16:30）携带按要求填写并加盖单位公章的《</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"http://bidding.gdufe.edu.cn/_upload/article/files/bf/27/67dbcb1d434fa0ac2abf0a145ead/223d8041-603c-4f5b-b361-c2685e569423.doc"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特色餐饮档口合作项目投标报名登记表</w:t>
      </w:r>
      <w:r>
        <w:rPr>
          <w:rFonts w:hint="eastAsia" w:ascii="仿宋" w:hAnsi="仿宋" w:eastAsia="仿宋" w:cs="Times New Roman"/>
          <w:kern w:val="2"/>
          <w:sz w:val="28"/>
          <w:szCs w:val="28"/>
          <w:lang w:val="en-US" w:eastAsia="zh-CN" w:bidi="ar-SA"/>
        </w:rPr>
        <w:fldChar w:fldCharType="end"/>
      </w:r>
      <w:r>
        <w:rPr>
          <w:rFonts w:hint="eastAsia" w:ascii="仿宋" w:hAnsi="仿宋" w:eastAsia="仿宋" w:cs="Times New Roman"/>
          <w:kern w:val="2"/>
          <w:sz w:val="28"/>
          <w:szCs w:val="28"/>
          <w:lang w:val="en-US" w:eastAsia="zh-CN" w:bidi="ar-SA"/>
        </w:rPr>
        <w:t>》到广东财经大学佛山校区第三食堂一楼办公室，报名联系人：梁老师，联系电话：0757-87828085。（招标文件自行下载）</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六、勘察现场</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参加本项目的所有投标人请在2022年12月28日下午16:30广东财经大学佛山校区第三食堂进行实地勘察。勘察当天，任何理由不参加实地勘察者，视作自动放弃勘察的机会。勘察现场联系人：梁老师，联系电话：0757-87828085。</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七、递交投标文件及开标时间和地点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1、递交投标文件时间：2023年1月5日上午8:30-11:30；</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2、开标时间：2023年1月5</w:t>
      </w:r>
      <w:bookmarkStart w:id="48" w:name="_GoBack"/>
      <w:bookmarkEnd w:id="48"/>
      <w:r>
        <w:rPr>
          <w:rFonts w:hint="eastAsia" w:ascii="仿宋" w:hAnsi="仿宋" w:eastAsia="仿宋" w:cs="Times New Roman"/>
          <w:kern w:val="2"/>
          <w:sz w:val="28"/>
          <w:szCs w:val="28"/>
          <w:lang w:val="en-US" w:eastAsia="zh-CN" w:bidi="ar-SA"/>
        </w:rPr>
        <w:t>日下午15:00</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3、评标地点：广东财经大学佛山校区第三食堂会议室       </w:t>
      </w:r>
    </w:p>
    <w:p>
      <w:pPr>
        <w:spacing w:line="240" w:lineRule="atLeast"/>
        <w:ind w:firstLine="4760" w:firstLineChars="1700"/>
        <w:jc w:val="right"/>
        <w:rPr>
          <w:rFonts w:hint="eastAsia" w:ascii="仿宋" w:hAnsi="仿宋" w:eastAsia="仿宋" w:cs="Times New Roman"/>
          <w:kern w:val="2"/>
          <w:sz w:val="28"/>
          <w:szCs w:val="28"/>
          <w:lang w:val="en-US" w:eastAsia="zh-CN" w:bidi="ar-SA"/>
        </w:rPr>
      </w:pPr>
    </w:p>
    <w:p>
      <w:pPr>
        <w:spacing w:line="240" w:lineRule="atLeast"/>
        <w:ind w:firstLine="4760" w:firstLineChars="1700"/>
        <w:jc w:val="right"/>
        <w:rPr>
          <w:rFonts w:hint="eastAsia" w:ascii="仿宋" w:hAnsi="仿宋" w:eastAsia="仿宋" w:cs="Times New Roman"/>
          <w:kern w:val="2"/>
          <w:sz w:val="28"/>
          <w:szCs w:val="28"/>
          <w:lang w:val="en-US" w:eastAsia="zh-CN" w:bidi="ar-SA"/>
        </w:rPr>
      </w:pPr>
    </w:p>
    <w:p>
      <w:pPr>
        <w:spacing w:line="240" w:lineRule="atLeast"/>
        <w:ind w:firstLine="4760" w:firstLineChars="1700"/>
        <w:jc w:val="righ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广东财经大学佛山校区管委会</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2022年12月27日</w:t>
      </w: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spacing w:line="240" w:lineRule="atLeast"/>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第二部分  投标须知</w:t>
      </w:r>
    </w:p>
    <w:p>
      <w:pPr>
        <w:pStyle w:val="5"/>
        <w:numPr>
          <w:ilvl w:val="0"/>
          <w:numId w:val="0"/>
        </w:numPr>
        <w:bidi w:val="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 </w:t>
      </w:r>
      <w:r>
        <w:rPr>
          <w:rFonts w:hint="eastAsia" w:ascii="仿宋_GB2312" w:hAnsi="仿宋_GB2312" w:eastAsia="仿宋_GB2312" w:cs="仿宋_GB2312"/>
          <w:sz w:val="28"/>
          <w:szCs w:val="28"/>
        </w:rPr>
        <w:t>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2.1.1适用范围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本招标文件仅适用于本次招标中所叙述的报价范围。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除特别说明外，本招标文件均适用所有子包（如有的话）。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本招标文件的解释权归广东财经大学所有。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 定义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2.1.2.1  “招标人”、“采购人”、“买方”、“甲方”、“学校”、“校方”、“我校”“业主”、“用户”均指广东财经大学，合同的一方当事人。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2.1.2.2 “投标人”、“报价人”、“供应商”是指参与本项目竞争的法人。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2.1.2.3 “中标人”、“成交人”、“卖方”、“乙方”是指经法定程序确定并授予合同的投标人，合同的一方当事人。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2.1.2.4 “货物”是指投标人须向招标人提供符合国家有关标准并满足招标文件规定的一切设备、机械、工具、产品及其伴随配件、资料等相关服务。招标文件中没有提及招标货物来源地的，根据国家相关规定均应是本国货物，优先采购节能、环保产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2.1.2.5 “服务”是指投标人须向招标人履行的职责并提供满足招标文件规定的劳务，如技术协助、支持、培训，安装、调试、管理、维护及其所需工具、手册等其它技术资料和材料。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2.1.3合格投标人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未被列入“信用中国”网(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（3）投标人须了解高校的教学、科研和生活的规律和要求，要有立足为师生提供优质服务的思想，有良好的思想素质和职业道德，充分认识学校食堂具有明显的公益性的特点；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（4）投标人近三年内在经营过程中没有违法行为和食物中毒事故。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（5）本项目不接受联合体投标。</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 招标文件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3.1.1 招标文件的构成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3.1.2 投标邀请函。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3.1.3 项目内容及需求。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3.1.4 投标人须知。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3.1.5 评标办法及标准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3.1.6 合同格式及主要条款。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3.1.7 投标文件格式。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3.1.8 招标文件的澄清、修改及补充等其他文件。</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3.2投标文件</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3.3.投标文件的构成</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投标文件应符合法律法规及招标文件的要求，至少包括下列文件：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3.3.1.1 投标函。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3.3.1.2 价格文件。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3.3.1.3 技术或服务文件。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3.3.1.5 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3.3.1.6 投标资格文件（包括：合格投标人资格证明文件、法定代表人证明书、授权委托书、投标人认为有必要提供的其他资质证书、材料）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以上文件相关格式、内容及要求请见招标文件第六部分。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投标文件的编制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3.3.2.1 投标人在获取招标文件后，应当按照招标文件的要求自主编制投标文件，投标文件应当对招标文件提出的实质性要求和条件作出明确的响应。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3.3.2.2 投标人应采用Office软件的Excel或Word中文版（A4纸）制作投标文件，图片、印刷文件以及招标文件另有规定的除外，并有封面、目录、流水页码。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3.3.2.3 投标人应完整、真实、准确的填写招标文件中规定的所有内容，且字体清晰。由于字体模糊或内容不详或没有提供招标文件中所要求的全部资料及数据，投标人应承担由此造成的任何后果。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3.3.2.4 投标人必须对投标文件所提供的全部资料的真实性承担法律责任，并无条件接受招标人及上级相关监督管理部门等对其中任何资料进行核实的要求。</w:t>
      </w:r>
    </w:p>
    <w:p>
      <w:pPr>
        <w:numPr>
          <w:ilvl w:val="0"/>
          <w:numId w:val="0"/>
        </w:numPr>
        <w:spacing w:line="40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3.4投标报价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 投标人应按照招标文件规定的内容、责任范围进行报价，并按《价格文件》确定的格式报价。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3.4.2 投标必须对所投标的子包（如果有的话）中所有内容进行报价，不允许只对包中部分内容进行报价，每个子包有且仅有一个报价（招标文件允许投标备选方案的除外），对于报价免费的项目必须标明“免费”。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投标文件的装订与签署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3.4.3 投标文件一律用A4纸（图纸、效果图等招标文件有特别说明的除外）打印，每套投标文件应独立装订成册。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3.4.4 投标人应准备投标文件正本1套、副本4套，每套投标文件须清楚地标明“正本”或“副本”。一旦正本和副本不符，以正本为准。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3.4.5 投标文件应由投标人的法定代表人或代理人在投标文件上签字。任何行间插字、涂改和增删的，必须由投标文件签字人在旁边签字确认，并加盖投标人公章。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3.4.6因投标文件装订质量或不可抗力事件而造成的一切后果，招标人概不承担责任。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投标文件的密封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3.4.7投标人应将投标文件正本、副本装入信封或封套中，且在信封或封套上标明“正本”或“副本”字样。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3.4.8信封或封套均应按以下要求清晰标记：</w:t>
      </w:r>
    </w:p>
    <w:tbl>
      <w:tblPr>
        <w:tblStyle w:val="18"/>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w:t>
            </w:r>
            <w:r>
              <w:rPr>
                <w:rFonts w:hint="eastAsia" w:asciiTheme="minorEastAsia" w:hAnsiTheme="minorEastAsia" w:eastAsiaTheme="minorEastAsia"/>
                <w:color w:val="000000"/>
                <w:sz w:val="23"/>
                <w:szCs w:val="23"/>
                <w:u w:val="single"/>
                <w:lang w:val="en-US" w:eastAsia="zh-CN"/>
              </w:rPr>
              <w:t>佛山校区管理委员会</w:t>
            </w: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3.4.9信封或封套的封口处加盖供应商公章或自然人签名。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3.4.10信封或封套未按上述要求密封和加写标记的，造成投标文件涉密、误投或过早启封，招标人概不负责。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投标文件的递交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3.4.11 投标人应当在招标文件要求递交投标文件的截止时间（开标时间）前或指定的时间，将投标文件送达指定地点。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3.4.12未密封或在投标截止时间后送达的投标文件，招标人不予接收。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3.4.13投标人在招标文件规定的投标有效期内撤回其投标或投标文件。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3.4.14中标人未能按招标文件要求与招标人签订合同。</w:t>
      </w: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第三部分 其他说明</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一、投标人必须在招标文件规定的投标截止时间前将投标文件送达指定的投标地点。在投标截止时限以后送达的投标文件不再接收。</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二、信用要求</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实行信用一票否决制。投标单位有下列情况之一者，招标人有权立即取消投标人的资格，并三年之内不得参加招标人组织的投标。</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（一）提供虚假材料或隐瞒重大食品安全事故、骗取中标的；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（二）采取不正当手段诋毁、排挤其他投标人的；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（三）与其他投标人恶意串通的；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（四）中标后，无正当理由拒绝与招标单位签订合同的；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（五）中标人违反法律法规，给招标人带来损害的；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（六）投标人不服从招标人管理，影响招标人正常工作，一学期收到两次书面警告或合作期内累计收到四次书面警告后仍拒不整改。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（七）合同协议期内其它不履行投标文件承诺的。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（八）借用其他公司资质，实际上非投标人经营的。</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三、合同签订</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中标人中标后，要求在10个工作日内完成合同签订（如遇假期顺延至学校财务正常上班），否则招标人有权取消中标资格。经过招标人核查，如有与招投标文件不相符的，违反了“信用要求”，则取消中标资格，依次替补或启动重新招标。在合同期内由于学校或政府重大政策性调整,或发生自然灾害等不可抗拒的因素，致使合同提前终止的,甲方不予赔偿。</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四、履约保证金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（一）在合同签订之日起10日内，中标人应向招标人交纳经营履约保证金3万元（人民币叁万元整）。</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履约保证金可用于赔偿因中标人原因造成招标人或学校的损失。若履约保证金不足以赔偿损失的，中标人必须补足赔偿金，以足额赔偿招标人的损失。发生赔偿后，中标人必须于10个工作日内补足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（三）合同期内，中标人完全履行了合同的，合同终止时，招标人</w:t>
      </w:r>
      <w:r>
        <w:rPr>
          <w:rFonts w:hint="eastAsia" w:ascii="仿宋" w:hAnsi="仿宋" w:eastAsia="仿宋" w:cs="Times New Roman"/>
          <w:kern w:val="2"/>
          <w:sz w:val="28"/>
          <w:szCs w:val="28"/>
          <w:lang w:val="en-US" w:eastAsia="zh-Hans" w:bidi="ar-SA"/>
        </w:rPr>
        <w:t>在</w:t>
      </w:r>
      <w:r>
        <w:rPr>
          <w:rFonts w:hint="eastAsia" w:ascii="仿宋" w:hAnsi="仿宋" w:eastAsia="仿宋" w:cs="Times New Roman"/>
          <w:kern w:val="2"/>
          <w:sz w:val="28"/>
          <w:szCs w:val="28"/>
          <w:lang w:val="en-US" w:eastAsia="zh-CN" w:bidi="ar-SA"/>
        </w:rPr>
        <w:t>一个月内全额无息退回履约保证金，中途退场的，没收履约保证金。</w:t>
      </w:r>
    </w:p>
    <w:p>
      <w:pPr>
        <w:spacing w:line="240" w:lineRule="atLeast"/>
        <w:ind w:firstLine="843" w:firstLineChars="3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五、其他费用承担及结算</w:t>
      </w:r>
    </w:p>
    <w:p>
      <w:pPr>
        <w:spacing w:line="240" w:lineRule="atLeast"/>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一）合作经营人的营业款结算，采取月结的方式，根据合同规定扣取对应的货款及水、电、燃气等相关费用，由引进人提取物价平抑基金费后，将营业款项支付给合作经营人（合作经营人银行卡账号：开户名：开户行：）。如合作经营人项目营业款项不够扣除对应的货款和水电费、清洁费、一卡通管理费以及后勤发展金的，合作经营人必须在次月5日前交清不足部分款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（二）档口的校园一卡通管理费由合作经营人承担，费用标准按照学校规定的收取标准执行。</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（三）档口经营所产生的燃气、水、电费由合作经营人承担。有安装计量表的由合作经营人独立承担；没有独立安装计量表的按营业收入比例由合作经营人进行分担。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（四）卫生费及公共区域的水电费、清洁费按营业收入比例由合作人进行分担。</w:t>
      </w:r>
    </w:p>
    <w:p>
      <w:pPr>
        <w:spacing w:line="400" w:lineRule="exact"/>
        <w:ind w:firstLine="562" w:firstLineChars="20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六、经营要求</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（一）中标人必须守法经营，不得从事违法犯罪的行为，严禁出售假冒伪劣商品。不得在合作场所从事宗教活动，未经批准不得举行非法集会等活动。</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（二）中标人必须严格履行合同，执行招标人各项规章制度，服从管理，严禁出现任何破坏校园秩序的行为。</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中标人负责饮食卫生安全。招标人将严格执行事故责任追究制度，如在合作期内发生食物中毒等重大责任事故，损害师生身体健康，影响学校声誉，中标人必须承担由此造成的一切责任和经济损失，招标人有权无条件终止合同，并没收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（四）中标人不得在中标后以任何方式转包或分包他人经营。</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中标人需要与雇佣人员签订劳务合同，并按照规定购买社保等，所招聘的员工必须无犯罪记录的行为能力人，负责从业人员工作过程中的安全责任和管理责任，上岗前必须将员工健康证明和身份证复印件等相关证件提交招标人，如发生生产安全事故，或意外伤亡事故，中标人应承担全部责任和经济补偿。</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（六）中标人需亲自或指定负责人全天在岗对所合作的档口进行管理，并负责从业人员的生产安全、卫生安全、服务等的教育培训，并接受招标人的指导和培训。</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未经招标人批准，在合作期内中标人不得更改房产结构，不得变换基本设施，若因经营服务需要对经营场所进行改造装修、添加设备，须书面报告征得招标人批准后方可实施，并由中标人承担所有费用。在合作结束或终止合同后必须保持装修原貌，不得进行破坏，凡是镶嵌在墙上和地板上的设施设备（包括炉具）不得搬离，归招标人所有，招标人不负责任何补偿。自行出资购置的可移动的设备及剩余物品等，在合作结束或终止合同后7天内搬离经营场所。</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（八）中标人按照学校要求严格执行招标人制定的营业时间，并遵守节假日、学校大型活动等招标人做出的临时性安排。</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（九）员工需穿戴统一的工作服、工作帽、口罩、围裙、工作牌等，由中标人自购。</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（十）中标人自行购买的厨具、炊具、餐具须经过招标人审核后自行购买。招标人提供档口的公用的勺子和筷子。</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（十一）中标人必须在招标人提供的加工、经营区域内操作经营，对挤占公共区域、侵占其他中标人权益，招标人有权进行处罚，并要求予以纠正。</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十二）中标人要爱护房产和设备、桌椅等财产，全权负责经营范围内的设备的保管，若丢失或损坏，需按价赔偿，否则将在营业额中扣减，并作出处罚；水、电、燃气等基础类设施设备的维修，由招标人承担，由中标人人为造成损坏的由中标人承担。  </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（十三）中标人所经营的项目、品种及定价必须经过招标人的审批。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（十四）合同到期或因中标人原因提前终止合同，中标人聘请的员工，由中标人自行处理，任何劳资纠纷，均与招标人无关。</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（十五）凡是档口被扣减了履约保证金的，须在5天内补足履约保证金，否则将停止合同，剩余保证金不予退还。</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七、中标人清退和补充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中标人发生违反合同规定的情况，招标人将采取警告、处罚乃至终止合同等措施。对于违反合同的情况，招标人发出书面警告通知书一学期达到两次，或合作期内累计达到四次，仍拒不整改的，招标人有权终止合同，3年内不再接受其投标。</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（二）中标人有下列行为之一者，招标人有权终止合作合同，保证金不予返还，造成经济损失由中标人承担，涉嫌违法犯罪的，报司法机关处理。</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1、中标人从事违法犯罪活动，或在合作场所从事宗教活动或未经批准举行非法集会、示威等活动的。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2、中标人在经营过程中，受到公安、食品卫生监督部门处罚或追究刑事责任的。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3、由中标人的原因造成进餐者食物中毒，或在经营过程中造成严重安全事故的。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因档口的食品价格、数量、卫生和服务态度等引起学生罢餐、静坐、游行、师生联名投诉等群体性事件或在校园网上多次反映此类情况，影响恶劣的，以及虽然未发生群体性事件，但是影响了饭堂稳定或校园稳定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5、中标人的经营达不到食监部门的卫生安全标准或招标人的管理要求，由招标人责令整改，而整改后仍达不到要求的。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6、中标人未经批准，在公共场所或新闻媒体发表有关“广东财经大学”、“广东财经大学佛山校区管委会”等事宜的。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7、中标人与师生或招标人管理人员发生冲突，或被师生多次投诉的。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8、中标人私自偷盗或转卖学校提供的生产设备、用具、炊具、原材料的。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9、不服从招标人的日常管理的。</w:t>
      </w:r>
    </w:p>
    <w:p>
      <w:pPr>
        <w:spacing w:line="240" w:lineRule="atLeast"/>
        <w:ind w:firstLine="560" w:firstLineChars="200"/>
        <w:jc w:val="left"/>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en-US" w:eastAsia="zh-CN" w:bidi="ar-SA"/>
        </w:rPr>
        <w:t>（三）中标人退出后，招标人有权根据投标人评标时排名高低顺序，依次替补，也可以启动重新招标确定新的合作商。</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八、其他</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（一）招标人对因不可抗力事件造成的投标文件的损坏、丢失不承担任何责任。</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（二）投标人有下列情况之一的，其投标文书为无效标书：</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1、未在规定的时间内将投标文书送达规定地点的。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2、投标人的投标文件无法定代表人签字或无法人代表授权委托的。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3、投标人的投标文书未按要求密封加盖公章的。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4、投标人不符合“合格的投标人”要求的。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5、投标文件附有招标人不能接受的条件的。  </w:t>
      </w:r>
      <w:bookmarkStart w:id="1" w:name="OLE_LINK6"/>
    </w:p>
    <w:p>
      <w:pPr>
        <w:spacing w:line="240" w:lineRule="atLeast"/>
        <w:ind w:firstLine="560" w:firstLineChars="200"/>
        <w:jc w:val="left"/>
        <w:rPr>
          <w:rFonts w:hint="eastAsia" w:ascii="仿宋" w:hAnsi="仿宋" w:eastAsia="仿宋" w:cs="Times New Roman"/>
          <w:kern w:val="2"/>
          <w:sz w:val="28"/>
          <w:szCs w:val="28"/>
          <w:lang w:val="en-US" w:eastAsia="zh-CN" w:bidi="ar-SA"/>
        </w:rPr>
      </w:pPr>
    </w:p>
    <w:p>
      <w:pPr>
        <w:spacing w:line="240" w:lineRule="atLeast"/>
        <w:ind w:firstLine="560" w:firstLineChars="200"/>
        <w:jc w:val="left"/>
        <w:rPr>
          <w:rFonts w:hint="eastAsia" w:ascii="仿宋" w:hAnsi="仿宋" w:eastAsia="仿宋" w:cs="Times New Roman"/>
          <w:kern w:val="2"/>
          <w:sz w:val="28"/>
          <w:szCs w:val="28"/>
          <w:lang w:val="en-US" w:eastAsia="zh-CN" w:bidi="ar-SA"/>
        </w:rPr>
      </w:pPr>
    </w:p>
    <w:p>
      <w:pPr>
        <w:pStyle w:val="2"/>
        <w:rPr>
          <w:rFonts w:hint="eastAsia" w:ascii="仿宋" w:hAnsi="仿宋" w:eastAsia="仿宋" w:cs="Times New Roman"/>
          <w:kern w:val="2"/>
          <w:sz w:val="28"/>
          <w:szCs w:val="28"/>
          <w:lang w:val="en-US" w:eastAsia="zh-CN" w:bidi="ar-SA"/>
        </w:rPr>
      </w:pPr>
    </w:p>
    <w:p>
      <w:pPr>
        <w:pStyle w:val="2"/>
        <w:rPr>
          <w:rFonts w:hint="eastAsia" w:ascii="仿宋" w:hAnsi="仿宋" w:eastAsia="仿宋" w:cs="Times New Roman"/>
          <w:kern w:val="2"/>
          <w:sz w:val="28"/>
          <w:szCs w:val="28"/>
          <w:lang w:val="en-US" w:eastAsia="zh-CN" w:bidi="ar-SA"/>
        </w:rPr>
      </w:pPr>
    </w:p>
    <w:p>
      <w:pPr>
        <w:pStyle w:val="2"/>
        <w:rPr>
          <w:rFonts w:hint="eastAsia" w:ascii="仿宋" w:hAnsi="仿宋" w:eastAsia="仿宋" w:cs="Times New Roman"/>
          <w:kern w:val="2"/>
          <w:sz w:val="28"/>
          <w:szCs w:val="28"/>
          <w:lang w:val="en-US" w:eastAsia="zh-CN" w:bidi="ar-SA"/>
        </w:rPr>
      </w:pPr>
    </w:p>
    <w:p>
      <w:pPr>
        <w:pStyle w:val="2"/>
        <w:rPr>
          <w:rFonts w:hint="eastAsia" w:ascii="仿宋" w:hAnsi="仿宋" w:eastAsia="仿宋" w:cs="Times New Roman"/>
          <w:kern w:val="2"/>
          <w:sz w:val="28"/>
          <w:szCs w:val="28"/>
          <w:lang w:val="en-US" w:eastAsia="zh-CN" w:bidi="ar-SA"/>
        </w:rPr>
      </w:pPr>
    </w:p>
    <w:p>
      <w:pPr>
        <w:pStyle w:val="4"/>
        <w:spacing w:before="0" w:after="0" w:line="400" w:lineRule="exact"/>
        <w:jc w:val="both"/>
        <w:rPr>
          <w:rFonts w:hint="eastAsia" w:ascii="仿宋" w:hAnsi="仿宋" w:eastAsia="仿宋" w:cs="仿宋"/>
          <w:sz w:val="32"/>
        </w:rPr>
      </w:pPr>
    </w:p>
    <w:p>
      <w:pPr>
        <w:pStyle w:val="4"/>
        <w:spacing w:before="0" w:after="0" w:line="400" w:lineRule="exact"/>
        <w:ind w:firstLine="2249" w:firstLineChars="700"/>
        <w:jc w:val="both"/>
        <w:rPr>
          <w:rFonts w:hint="default" w:ascii="仿宋" w:hAnsi="仿宋" w:eastAsia="仿宋" w:cs="仿宋"/>
          <w:sz w:val="32"/>
          <w:lang w:val="en-US" w:eastAsia="zh-CN"/>
        </w:rPr>
      </w:pPr>
      <w:r>
        <w:rPr>
          <w:rFonts w:hint="eastAsia" w:ascii="仿宋" w:hAnsi="仿宋" w:eastAsia="仿宋" w:cs="仿宋"/>
          <w:sz w:val="32"/>
        </w:rPr>
        <w:t>第</w:t>
      </w:r>
      <w:r>
        <w:rPr>
          <w:rFonts w:hint="eastAsia" w:ascii="仿宋" w:hAnsi="仿宋" w:eastAsia="仿宋" w:cs="仿宋"/>
          <w:sz w:val="32"/>
          <w:lang w:val="en-US" w:eastAsia="zh-CN"/>
        </w:rPr>
        <w:t>四</w:t>
      </w:r>
      <w:r>
        <w:rPr>
          <w:rFonts w:hint="eastAsia" w:ascii="仿宋" w:hAnsi="仿宋" w:eastAsia="仿宋" w:cs="仿宋"/>
          <w:sz w:val="32"/>
        </w:rPr>
        <w:t>部分  评标办法与</w:t>
      </w:r>
      <w:r>
        <w:rPr>
          <w:rFonts w:hint="eastAsia" w:ascii="仿宋" w:hAnsi="仿宋" w:eastAsia="仿宋" w:cs="仿宋"/>
          <w:sz w:val="32"/>
          <w:lang w:val="en-US" w:eastAsia="zh-CN"/>
        </w:rPr>
        <w:t>评标规则</w:t>
      </w:r>
    </w:p>
    <w:bookmarkEnd w:id="1"/>
    <w:p>
      <w:pPr>
        <w:pStyle w:val="4"/>
        <w:spacing w:before="0" w:after="0" w:line="400" w:lineRule="exact"/>
        <w:rPr>
          <w:sz w:val="32"/>
        </w:rPr>
      </w:pPr>
    </w:p>
    <w:p>
      <w:pPr>
        <w:pStyle w:val="9"/>
        <w:pageBreakBefore w:val="0"/>
        <w:kinsoku/>
        <w:wordWrap/>
        <w:overflowPunct/>
        <w:topLinePunct w:val="0"/>
        <w:bidi w:val="0"/>
        <w:snapToGrid/>
        <w:spacing w:line="240" w:lineRule="auto"/>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评标小组将按照规定只对通过符合性检查的投标文件进行评价和比较。</w:t>
      </w:r>
    </w:p>
    <w:p>
      <w:pPr>
        <w:pageBreakBefore w:val="0"/>
        <w:kinsoku/>
        <w:wordWrap/>
        <w:overflowPunct/>
        <w:topLinePunct w:val="0"/>
        <w:bidi w:val="0"/>
        <w:snapToGrid/>
        <w:spacing w:line="240" w:lineRule="auto"/>
        <w:ind w:left="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具体方法及流程如下：</w:t>
      </w:r>
    </w:p>
    <w:p>
      <w:pPr>
        <w:pStyle w:val="6"/>
        <w:pageBreakBefore w:val="0"/>
        <w:tabs>
          <w:tab w:val="left" w:pos="1680"/>
        </w:tabs>
        <w:kinsoku/>
        <w:wordWrap/>
        <w:overflowPunct/>
        <w:topLinePunct w:val="0"/>
        <w:bidi w:val="0"/>
        <w:snapToGrid/>
        <w:spacing w:before="0" w:after="0" w:line="240" w:lineRule="auto"/>
        <w:textAlignment w:val="auto"/>
        <w:rPr>
          <w:rFonts w:hint="eastAsia" w:ascii="仿宋" w:hAnsi="仿宋" w:eastAsia="仿宋" w:cs="Times New Roman"/>
          <w:kern w:val="2"/>
          <w:sz w:val="28"/>
          <w:szCs w:val="28"/>
          <w:lang w:val="en-US" w:eastAsia="zh-CN" w:bidi="ar-SA"/>
        </w:rPr>
      </w:pPr>
      <w:bookmarkStart w:id="2" w:name="_Toc357772792"/>
      <w:bookmarkStart w:id="3" w:name="_Toc37496253"/>
      <w:bookmarkStart w:id="4" w:name="_Toc357773224"/>
      <w:bookmarkStart w:id="5" w:name="_Toc357772506"/>
      <w:bookmarkStart w:id="6" w:name="_Toc43264543"/>
      <w:bookmarkStart w:id="7" w:name="_Toc26800373"/>
      <w:bookmarkStart w:id="8" w:name="_Toc61327436"/>
      <w:bookmarkStart w:id="9" w:name="_Toc49135233"/>
      <w:r>
        <w:rPr>
          <w:rFonts w:hint="eastAsia" w:ascii="仿宋" w:hAnsi="仿宋" w:eastAsia="仿宋" w:cs="Times New Roman"/>
          <w:kern w:val="2"/>
          <w:sz w:val="28"/>
          <w:szCs w:val="28"/>
          <w:lang w:val="en-US" w:eastAsia="zh-CN" w:bidi="ar-SA"/>
        </w:rPr>
        <w:t xml:space="preserve">    一、接收投标文件</w:t>
      </w:r>
      <w:bookmarkEnd w:id="2"/>
      <w:bookmarkEnd w:id="3"/>
      <w:bookmarkEnd w:id="4"/>
      <w:bookmarkEnd w:id="5"/>
      <w:bookmarkEnd w:id="6"/>
      <w:bookmarkEnd w:id="7"/>
      <w:bookmarkEnd w:id="8"/>
      <w:bookmarkEnd w:id="9"/>
    </w:p>
    <w:p>
      <w:pPr>
        <w:pageBreakBefore w:val="0"/>
        <w:kinsoku/>
        <w:wordWrap/>
        <w:overflowPunct/>
        <w:topLinePunct w:val="0"/>
        <w:bidi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招标人按招标文件规定的时间和地点接收投标文件。投标人必须按照要求制作和递交投标文件。</w:t>
      </w:r>
    </w:p>
    <w:p>
      <w:pPr>
        <w:pageBreakBefore w:val="0"/>
        <w:kinsoku/>
        <w:wordWrap/>
        <w:overflowPunct/>
        <w:topLinePunct w:val="0"/>
        <w:bidi w:val="0"/>
        <w:snapToGrid/>
        <w:spacing w:line="240" w:lineRule="auto"/>
        <w:ind w:firstLine="562" w:firstLineChars="200"/>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二、资格审查</w:t>
      </w:r>
    </w:p>
    <w:p>
      <w:pPr>
        <w:pageBreakBefore w:val="0"/>
        <w:kinsoku/>
        <w:wordWrap/>
        <w:overflowPunct/>
        <w:topLinePunct w:val="0"/>
        <w:bidi w:val="0"/>
        <w:snapToGrid/>
        <w:spacing w:line="240" w:lineRule="auto"/>
        <w:ind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投标人对各投标文件按照招标文件要求的响应情况进行资格性和符合性审查。资格性和符合性审查必须根据招标文件中对投标人的要求和投标文件中的响应进行。</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（一）商务符合性审查：评审小组将对各投标文件是否完整、有关资格证明文件是否齐全有效、文件签署是否合格、是否符合招标档口的要求等商务符合性进行审查。</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（二）投标文件出现下列情况时将被认定为无效投标：</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①投标人不符合合格投标人的条件；</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②投标文件未按招标文件规定盖章或签署；</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③评标小组认为投标文件未符合档口要求的；</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④评标小组认为其它构成投标未实质性响应招标文件要求的。</w:t>
      </w:r>
    </w:p>
    <w:p>
      <w:pPr>
        <w:pStyle w:val="16"/>
        <w:pageBreakBefore w:val="0"/>
        <w:widowControl/>
        <w:numPr>
          <w:ilvl w:val="0"/>
          <w:numId w:val="2"/>
        </w:numPr>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通过了评审小组审查的投标为有效投标，并进入下一阶段的详细评价和比较。经评审小组审查，若某投标出现 “不通过”，则该投标不能进入下一阶段的评审。</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562" w:firstLineChars="200"/>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三、开标</w:t>
      </w:r>
      <w:bookmarkStart w:id="10" w:name="_Toc357772793"/>
      <w:bookmarkStart w:id="11" w:name="_Toc49135234"/>
      <w:bookmarkStart w:id="12" w:name="_Toc37496254"/>
      <w:bookmarkStart w:id="13" w:name="_Toc61327437"/>
      <w:bookmarkStart w:id="14" w:name="_Toc43264544"/>
      <w:bookmarkStart w:id="15" w:name="_Toc26800374"/>
      <w:bookmarkStart w:id="16" w:name="_Toc357773225"/>
      <w:bookmarkStart w:id="17" w:name="_Toc357772507"/>
      <w:r>
        <w:rPr>
          <w:rFonts w:hint="eastAsia" w:ascii="仿宋" w:hAnsi="仿宋" w:eastAsia="仿宋" w:cs="Times New Roman"/>
          <w:b/>
          <w:bCs/>
          <w:kern w:val="2"/>
          <w:sz w:val="28"/>
          <w:szCs w:val="28"/>
          <w:lang w:val="en-US" w:eastAsia="zh-CN" w:bidi="ar-SA"/>
        </w:rPr>
        <w:t>、评标</w:t>
      </w:r>
      <w:bookmarkEnd w:id="10"/>
      <w:bookmarkEnd w:id="11"/>
      <w:bookmarkEnd w:id="12"/>
      <w:bookmarkEnd w:id="13"/>
      <w:bookmarkEnd w:id="14"/>
      <w:bookmarkEnd w:id="15"/>
      <w:bookmarkEnd w:id="16"/>
      <w:bookmarkEnd w:id="17"/>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按照评标程序的规定和依据进行评分。根据按得分高低排出名次，排名第一的为第一中标人，排名第二的为第二顺序中标人，以此类推。</w:t>
      </w:r>
      <w:bookmarkStart w:id="18" w:name="_Toc357772794"/>
      <w:bookmarkStart w:id="19" w:name="_Toc357772508"/>
      <w:bookmarkStart w:id="20" w:name="_Toc357773226"/>
    </w:p>
    <w:bookmarkEnd w:id="18"/>
    <w:bookmarkEnd w:id="19"/>
    <w:bookmarkEnd w:id="20"/>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b/>
          <w:bCs/>
          <w:kern w:val="2"/>
          <w:sz w:val="28"/>
          <w:szCs w:val="28"/>
          <w:lang w:val="en-US" w:eastAsia="zh-CN" w:bidi="ar-SA"/>
        </w:rPr>
      </w:pPr>
      <w:bookmarkStart w:id="21" w:name="OLE_LINK5"/>
      <w:bookmarkStart w:id="22" w:name="OLE_LINK9"/>
      <w:r>
        <w:rPr>
          <w:rFonts w:hint="eastAsia" w:ascii="仿宋" w:hAnsi="仿宋" w:eastAsia="仿宋" w:cs="Times New Roman"/>
          <w:b/>
          <w:bCs/>
          <w:kern w:val="2"/>
          <w:sz w:val="28"/>
          <w:szCs w:val="28"/>
          <w:lang w:val="en-US" w:eastAsia="zh-CN" w:bidi="ar-SA"/>
        </w:rPr>
        <w:t>四、评标规则</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按照综合评分法，各有效投标人的总得分从高至低排名顺序，排名第一的为中标人；出现综合得分并列时，由评委组讨论决定顺序。</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招标人在签订合同过程中，如发现申报人以他人名义投标或者以其他方式弄虚作假，骗取合作服务资格的，招标人有权取消其合作商资格，并根据投标人评标时排名高低顺序，依次替补，或重新启动新的招标。 </w:t>
      </w:r>
      <w:bookmarkEnd w:id="21"/>
      <w:bookmarkEnd w:id="22"/>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为了禁止借用其他公司的资质进行投标，或进行分包和转包，招标人将有权在签订合同之前，对中标人进行核查相关的资质和项目情况。如发现资料造假，则有权取消中标资格，依次替补或重新招标。</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五、附件：投标报名表</w:t>
      </w:r>
    </w:p>
    <w:p>
      <w:pPr>
        <w:pStyle w:val="3"/>
        <w:ind w:left="0" w:firstLine="0"/>
        <w:rPr>
          <w:rFonts w:hint="eastAsia" w:ascii="仿宋" w:hAnsi="仿宋" w:eastAsia="仿宋" w:cs="Times New Roman"/>
          <w:b/>
          <w:bCs/>
          <w:kern w:val="2"/>
          <w:sz w:val="44"/>
          <w:szCs w:val="44"/>
          <w:lang w:val="en-US" w:eastAsia="zh-CN" w:bidi="ar-SA"/>
        </w:rPr>
      </w:pP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附件：                       投标报名表</w:t>
      </w:r>
    </w:p>
    <w:p>
      <w:pPr>
        <w:spacing w:line="400" w:lineRule="exac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广东财经大学佛山校区管理委员会：</w:t>
      </w:r>
    </w:p>
    <w:p>
      <w:pPr>
        <w:spacing w:line="40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我方</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（申请人名称），现参加广东财经大学佛山校区第三食堂特色餐饮档口合作项目招标，并承诺以下信息真实、合法，接受招标人的审核。</w:t>
      </w:r>
    </w:p>
    <w:tbl>
      <w:tblPr>
        <w:tblStyle w:val="18"/>
        <w:tblW w:w="9174" w:type="dxa"/>
        <w:jc w:val="center"/>
        <w:tblLayout w:type="fixed"/>
        <w:tblCellMar>
          <w:top w:w="0" w:type="dxa"/>
          <w:left w:w="0" w:type="dxa"/>
          <w:bottom w:w="0" w:type="dxa"/>
          <w:right w:w="0" w:type="dxa"/>
        </w:tblCellMar>
      </w:tblPr>
      <w:tblGrid>
        <w:gridCol w:w="2059"/>
        <w:gridCol w:w="2253"/>
        <w:gridCol w:w="2173"/>
        <w:gridCol w:w="2689"/>
      </w:tblGrid>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法人身份证*</w:t>
            </w:r>
          </w:p>
        </w:tc>
        <w:tc>
          <w:tcPr>
            <w:tcW w:w="26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投标负责人*</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负责人身份证*</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负责人手机*</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注册（户口）地址*</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负责人电子邮箱*</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6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是否符合档口项目要求*</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愿意服从档口调整和经营项目的调整*</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经营项目的品种*</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项目需要提供条件</w:t>
            </w:r>
          </w:p>
        </w:tc>
        <w:tc>
          <w:tcPr>
            <w:tcW w:w="711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r>
    </w:tbl>
    <w:p>
      <w:pPr>
        <w:spacing w:line="40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注：1、带“*”为必须填写项。</w:t>
      </w:r>
    </w:p>
    <w:p>
      <w:pPr>
        <w:spacing w:line="40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2、每个包组报名需填写一份报名表。</w:t>
      </w:r>
    </w:p>
    <w:p>
      <w:pPr>
        <w:spacing w:line="400" w:lineRule="exact"/>
        <w:ind w:left="239" w:leftChars="114"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3、是否符合档口项目要求一栏，请对照档口要求进行陈述，如果未进行陈述，或者不能满足档口的要求，则不能通过资格审查，不能进行评分阶段。</w:t>
      </w:r>
    </w:p>
    <w:p>
      <w:pPr>
        <w:spacing w:line="400" w:lineRule="exact"/>
        <w:ind w:left="239" w:leftChars="114"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4、所有投标人，必须填“愿意服从档口调整和经营项目的调整”中“愿意”一栏，否则为无效投标人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5、此表务必认真填写并加盖企业公章。</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公司签章（或个人签名）： </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ind w:right="42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申请日期：    年   月   日</w:t>
      </w:r>
    </w:p>
    <w:p>
      <w:pPr>
        <w:spacing w:line="400" w:lineRule="exact"/>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pStyle w:val="14"/>
        <w:spacing w:line="360" w:lineRule="exact"/>
        <w:jc w:val="center"/>
        <w:rPr>
          <w:rStyle w:val="22"/>
          <w:rFonts w:hint="eastAsia" w:ascii="仿宋_GB2312" w:hAnsi="仿宋_GB2312" w:eastAsia="仿宋_GB2312" w:cs="仿宋_GB2312"/>
          <w:color w:val="000000"/>
          <w:sz w:val="32"/>
          <w:szCs w:val="32"/>
          <w:u w:val="none"/>
        </w:rPr>
      </w:pPr>
    </w:p>
    <w:p>
      <w:pPr>
        <w:rPr>
          <w:rStyle w:val="22"/>
          <w:rFonts w:ascii="??_GB2312" w:hAnsi="??_GB2312" w:cs="??_GB2312"/>
          <w:color w:val="000000"/>
          <w:sz w:val="32"/>
          <w:szCs w:val="32"/>
          <w:u w:val="none"/>
        </w:rPr>
      </w:pPr>
    </w:p>
    <w:p>
      <w:pPr>
        <w:pStyle w:val="4"/>
        <w:spacing w:before="0" w:after="0" w:line="400" w:lineRule="exact"/>
        <w:ind w:firstLine="2249" w:firstLineChars="700"/>
        <w:jc w:val="both"/>
        <w:rPr>
          <w:rFonts w:hint="eastAsia" w:ascii="仿宋" w:hAnsi="仿宋" w:eastAsia="仿宋" w:cs="仿宋"/>
          <w:sz w:val="32"/>
        </w:rPr>
      </w:pPr>
      <w:bookmarkStart w:id="23" w:name="_Toc25131"/>
      <w:bookmarkStart w:id="24" w:name="_Toc298325866"/>
    </w:p>
    <w:p>
      <w:pPr>
        <w:pStyle w:val="4"/>
        <w:spacing w:before="0" w:after="0" w:line="400" w:lineRule="exact"/>
        <w:ind w:firstLine="2249" w:firstLineChars="700"/>
        <w:jc w:val="both"/>
        <w:rPr>
          <w:rFonts w:hint="eastAsia" w:ascii="仿宋" w:hAnsi="仿宋" w:eastAsia="仿宋" w:cs="仿宋"/>
          <w:sz w:val="32"/>
        </w:rPr>
      </w:pPr>
    </w:p>
    <w:p>
      <w:pPr>
        <w:pStyle w:val="4"/>
        <w:spacing w:before="0" w:after="0" w:line="400" w:lineRule="exact"/>
        <w:jc w:val="center"/>
        <w:rPr>
          <w:rFonts w:hint="eastAsia" w:ascii="仿宋" w:hAnsi="仿宋" w:eastAsia="仿宋" w:cs="仿宋"/>
          <w:sz w:val="32"/>
        </w:rPr>
      </w:pPr>
      <w:r>
        <w:rPr>
          <w:rFonts w:hint="eastAsia" w:ascii="仿宋" w:hAnsi="仿宋" w:eastAsia="仿宋" w:cs="仿宋"/>
          <w:sz w:val="32"/>
        </w:rPr>
        <w:t>第</w:t>
      </w:r>
      <w:r>
        <w:rPr>
          <w:rFonts w:hint="eastAsia" w:ascii="仿宋" w:hAnsi="仿宋" w:eastAsia="仿宋" w:cs="仿宋"/>
          <w:sz w:val="32"/>
          <w:lang w:val="en-US" w:eastAsia="zh-CN"/>
        </w:rPr>
        <w:t>五</w:t>
      </w:r>
      <w:r>
        <w:rPr>
          <w:rFonts w:hint="eastAsia" w:ascii="仿宋" w:hAnsi="仿宋" w:eastAsia="仿宋" w:cs="仿宋"/>
          <w:sz w:val="32"/>
        </w:rPr>
        <w:t>部分  评标办法</w:t>
      </w:r>
      <w:r>
        <w:rPr>
          <w:rFonts w:hint="eastAsia" w:ascii="仿宋" w:hAnsi="仿宋" w:eastAsia="仿宋" w:cs="仿宋"/>
          <w:sz w:val="32"/>
          <w:lang w:eastAsia="zh-CN"/>
        </w:rPr>
        <w:t>、</w:t>
      </w:r>
      <w:r>
        <w:rPr>
          <w:rFonts w:hint="eastAsia" w:ascii="仿宋" w:hAnsi="仿宋" w:eastAsia="仿宋" w:cs="仿宋"/>
          <w:sz w:val="32"/>
          <w:lang w:val="en-US" w:eastAsia="zh-CN"/>
        </w:rPr>
        <w:t>资格性审查</w:t>
      </w:r>
      <w:r>
        <w:rPr>
          <w:rFonts w:hint="eastAsia" w:ascii="仿宋" w:hAnsi="仿宋" w:eastAsia="仿宋" w:cs="仿宋"/>
          <w:sz w:val="32"/>
        </w:rPr>
        <w:t>及</w:t>
      </w:r>
      <w:r>
        <w:rPr>
          <w:rFonts w:hint="eastAsia" w:ascii="仿宋" w:hAnsi="仿宋" w:eastAsia="仿宋" w:cs="仿宋"/>
          <w:sz w:val="32"/>
          <w:lang w:val="en-US" w:eastAsia="zh-CN"/>
        </w:rPr>
        <w:t>评标</w:t>
      </w:r>
      <w:r>
        <w:rPr>
          <w:rFonts w:hint="eastAsia" w:ascii="仿宋" w:hAnsi="仿宋" w:eastAsia="仿宋" w:cs="仿宋"/>
          <w:sz w:val="32"/>
        </w:rPr>
        <w:t>标准</w:t>
      </w:r>
      <w:bookmarkEnd w:id="23"/>
      <w:bookmarkEnd w:id="24"/>
    </w:p>
    <w:p>
      <w:pPr>
        <w:pStyle w:val="5"/>
        <w:numPr>
          <w:ilvl w:val="0"/>
          <w:numId w:val="0"/>
        </w:numPr>
        <w:bidi w:val="0"/>
        <w:ind w:leftChars="0"/>
      </w:pPr>
      <w:bookmarkStart w:id="25" w:name="_Toc298325867"/>
      <w:bookmarkStart w:id="26" w:name="_Toc28444"/>
      <w:bookmarkStart w:id="27" w:name="_Toc279072807"/>
      <w:r>
        <w:rPr>
          <w:rFonts w:hint="eastAsia"/>
          <w:lang w:val="en-US" w:eastAsia="zh-CN"/>
        </w:rPr>
        <w:t xml:space="preserve">5.1 </w:t>
      </w:r>
      <w:r>
        <w:rPr>
          <w:rFonts w:hint="eastAsia"/>
        </w:rPr>
        <w:t>评标方法</w:t>
      </w:r>
      <w:bookmarkEnd w:id="25"/>
      <w:bookmarkEnd w:id="26"/>
      <w:bookmarkEnd w:id="27"/>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宋体" w:hAnsi="宋体"/>
          <w:color w:val="000000"/>
          <w:sz w:val="24"/>
          <w:szCs w:val="24"/>
          <w:lang w:val="en-US" w:eastAsia="zh-CN"/>
        </w:rPr>
        <w:t xml:space="preserve">5.1.1 </w:t>
      </w:r>
      <w:r>
        <w:rPr>
          <w:rFonts w:hint="eastAsia" w:ascii="仿宋" w:hAnsi="仿宋" w:eastAsia="仿宋" w:cs="Times New Roman"/>
          <w:kern w:val="2"/>
          <w:sz w:val="28"/>
          <w:szCs w:val="28"/>
          <w:lang w:val="en-US" w:eastAsia="zh-CN" w:bidi="ar-SA"/>
        </w:rPr>
        <w:t>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仿宋" w:hAnsi="仿宋" w:eastAsia="仿宋" w:cs="Times New Roman"/>
          <w:kern w:val="2"/>
          <w:sz w:val="28"/>
          <w:szCs w:val="28"/>
          <w:lang w:val="en-US" w:eastAsia="zh-CN" w:bidi="ar-SA"/>
        </w:rPr>
        <w:t>即在最大限度地满足招标文件实质性要求的前提下，按照招标文件中规定的各项因素进行综合评审后，以评标总得分最高的投标人作为中标候选人。</w:t>
      </w:r>
    </w:p>
    <w:p>
      <w:pPr>
        <w:pStyle w:val="5"/>
        <w:bidi w:val="0"/>
        <w:rPr>
          <w:rFonts w:hint="eastAsia"/>
          <w:lang w:val="en-US" w:eastAsia="zh-CN"/>
        </w:rPr>
      </w:pPr>
      <w:bookmarkStart w:id="28" w:name="_Toc154"/>
      <w:r>
        <w:rPr>
          <w:rFonts w:hint="eastAsia"/>
          <w:lang w:val="en-US" w:eastAsia="zh-CN"/>
        </w:rPr>
        <w:t>5.2  资格性审查</w:t>
      </w:r>
      <w:bookmarkEnd w:id="28"/>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详见符合性审查表    （附表一）。</w:t>
      </w:r>
    </w:p>
    <w:p>
      <w:pPr>
        <w:pStyle w:val="5"/>
        <w:bidi w:val="0"/>
        <w:rPr>
          <w:rFonts w:hint="eastAsia"/>
          <w:lang w:val="en-US" w:eastAsia="zh-CN"/>
        </w:rPr>
      </w:pPr>
      <w:bookmarkStart w:id="29" w:name="_Toc20060"/>
      <w:r>
        <w:rPr>
          <w:rFonts w:hint="eastAsia"/>
          <w:lang w:val="en-US" w:eastAsia="zh-CN"/>
        </w:rPr>
        <w:t>5.3  权重分配表</w:t>
      </w:r>
      <w:bookmarkEnd w:id="29"/>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详见权重分配表      （附表二）。</w:t>
      </w:r>
    </w:p>
    <w:p>
      <w:pPr>
        <w:pStyle w:val="5"/>
        <w:bidi w:val="0"/>
        <w:rPr>
          <w:rFonts w:hint="default"/>
          <w:lang w:val="en-US" w:eastAsia="zh-CN"/>
        </w:rPr>
      </w:pPr>
      <w:bookmarkStart w:id="30" w:name="_Toc7376"/>
      <w:r>
        <w:rPr>
          <w:rFonts w:hint="eastAsia"/>
          <w:lang w:val="en-US" w:eastAsia="zh-CN"/>
        </w:rPr>
        <w:t>5.4  评标标准</w:t>
      </w:r>
      <w:bookmarkEnd w:id="30"/>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（1）价格评分标准：详见《价格评分表》  （附表三）。</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（2）商务评分标准：详见《商务评分表》  （附表四）。</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（3）服务评分标准：详见《服务评分表》  （附表五）。</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3"/>
        <w:spacing w:before="0" w:after="0" w:line="240" w:lineRule="auto"/>
        <w:jc w:val="both"/>
        <w:rPr>
          <w:rFonts w:hint="eastAsia" w:ascii="宋体" w:hAnsi="宋体"/>
          <w:color w:val="000000"/>
          <w:sz w:val="28"/>
          <w:szCs w:val="23"/>
          <w:lang w:val="en-US" w:eastAsia="zh-CN"/>
        </w:rPr>
        <w:sectPr>
          <w:footerReference r:id="rId4" w:type="first"/>
          <w:footerReference r:id="rId3"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both"/>
        <w:rPr>
          <w:rFonts w:hint="eastAsia"/>
          <w:b/>
          <w:bCs/>
          <w:sz w:val="28"/>
          <w:szCs w:val="28"/>
          <w:lang w:val="en-US" w:eastAsia="zh-CN"/>
        </w:rPr>
      </w:pPr>
      <w:r>
        <w:rPr>
          <w:rFonts w:hint="eastAsia"/>
          <w:b/>
          <w:bCs/>
          <w:sz w:val="28"/>
          <w:szCs w:val="28"/>
          <w:lang w:val="en-US" w:eastAsia="zh-CN"/>
        </w:rPr>
        <w:t>附表一：</w:t>
      </w:r>
    </w:p>
    <w:p>
      <w:pPr>
        <w:bidi w:val="0"/>
        <w:jc w:val="center"/>
        <w:rPr>
          <w:rFonts w:hint="eastAsia" w:ascii="仿宋_GB2312" w:hAnsi="仿宋_GB2312" w:eastAsia="仿宋_GB2312" w:cs="仿宋_GB2312"/>
          <w:b/>
          <w:bCs/>
          <w:kern w:val="2"/>
          <w:sz w:val="28"/>
          <w:szCs w:val="28"/>
          <w:lang w:val="en-US" w:eastAsia="zh-CN" w:bidi="ar-SA"/>
        </w:rPr>
      </w:pPr>
      <w:r>
        <w:rPr>
          <w:rFonts w:hint="eastAsia" w:ascii="宋体" w:hAnsi="宋体" w:cs="Times New Roman"/>
          <w:b/>
          <w:bCs/>
          <w:color w:val="000000"/>
          <w:kern w:val="2"/>
          <w:sz w:val="24"/>
          <w:szCs w:val="24"/>
          <w:lang w:val="en-US" w:eastAsia="zh-CN" w:bidi="ar-SA"/>
        </w:rPr>
        <w:t>符合性审查表</w:t>
      </w:r>
    </w:p>
    <w:p>
      <w:pPr>
        <w:keepNext w:val="0"/>
        <w:keepLines w:val="0"/>
        <w:pageBreakBefore w:val="0"/>
        <w:kinsoku/>
        <w:wordWrap/>
        <w:overflowPunct/>
        <w:topLinePunct w:val="0"/>
        <w:bidi w:val="0"/>
        <w:adjustRightInd w:val="0"/>
        <w:snapToGrid w:val="0"/>
        <w:spacing w:line="240" w:lineRule="auto"/>
        <w:ind w:right="191" w:rightChars="91"/>
        <w:textAlignment w:val="auto"/>
        <w:rPr>
          <w:rFonts w:hint="eastAsia" w:ascii="仿宋_GB2312" w:hAnsi="仿宋_GB2312" w:eastAsia="仿宋_GB2312" w:cs="仿宋_GB2312"/>
          <w:b/>
          <w:color w:val="000000"/>
          <w:sz w:val="24"/>
        </w:rPr>
      </w:pPr>
    </w:p>
    <w:p>
      <w:pPr>
        <w:keepNext w:val="0"/>
        <w:keepLines w:val="0"/>
        <w:pageBreakBefore w:val="0"/>
        <w:kinsoku/>
        <w:wordWrap/>
        <w:overflowPunct/>
        <w:topLinePunct w:val="0"/>
        <w:bidi w:val="0"/>
        <w:adjustRightInd w:val="0"/>
        <w:snapToGrid w:val="0"/>
        <w:spacing w:line="240" w:lineRule="auto"/>
        <w:ind w:right="191" w:rightChars="91"/>
        <w:textAlignment w:val="auto"/>
        <w:rPr>
          <w:rFonts w:hint="eastAsia" w:ascii="仿宋_GB2312" w:hAnsi="仿宋_GB2312" w:eastAsia="仿宋_GB2312" w:cs="仿宋_GB2312"/>
          <w:bCs/>
          <w:color w:val="000000"/>
          <w:sz w:val="24"/>
          <w:u w:val="single"/>
        </w:rPr>
      </w:pPr>
      <w:r>
        <w:rPr>
          <w:rFonts w:hint="eastAsia" w:ascii="仿宋_GB2312" w:hAnsi="仿宋_GB2312" w:eastAsia="仿宋_GB2312" w:cs="仿宋_GB2312"/>
          <w:b/>
          <w:color w:val="000000"/>
          <w:sz w:val="24"/>
        </w:rPr>
        <w:t>投标人：</w:t>
      </w:r>
    </w:p>
    <w:tbl>
      <w:tblPr>
        <w:tblStyle w:val="18"/>
        <w:tblW w:w="9290"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865"/>
        <w:gridCol w:w="13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99"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5865"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评审内容</w:t>
            </w:r>
          </w:p>
        </w:tc>
        <w:tc>
          <w:tcPr>
            <w:tcW w:w="1350"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审查结论</w:t>
            </w:r>
          </w:p>
        </w:tc>
        <w:tc>
          <w:tcPr>
            <w:tcW w:w="1276"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color w:val="auto"/>
                <w:sz w:val="24"/>
                <w:szCs w:val="24"/>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r>
              <w:rPr>
                <w:rFonts w:hint="eastAsia" w:hAnsi="宋体" w:cs="宋体"/>
                <w:color w:val="auto"/>
                <w:sz w:val="24"/>
                <w:szCs w:val="24"/>
                <w:lang w:eastAsia="zh-CN"/>
              </w:rPr>
              <w:t>；</w:t>
            </w:r>
            <w:r>
              <w:rPr>
                <w:rFonts w:hint="eastAsia" w:hAnsi="宋体" w:cs="宋体"/>
                <w:color w:val="auto"/>
                <w:sz w:val="24"/>
                <w:szCs w:val="24"/>
                <w:lang w:val="en-US" w:eastAsia="zh-CN"/>
              </w:rPr>
              <w:t>自然人未被列入“黑名单”（提供截图）</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3</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投标人须了解高校的教学、科研和生活的规律和要求，要有立足为师生提供优质服务的思想，有良好的思想素质和职业道德，充分认识学校食堂具有明显的公益性的特点</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4</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投标人近三年内在经营过程中没有违法行为和食物中毒事故</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本项目不接受联合体投标</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64" w:type="dxa"/>
            <w:gridSpan w:val="2"/>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jc w:val="center"/>
              <w:textAlignment w:val="auto"/>
              <w:rPr>
                <w:rFonts w:hint="eastAsia" w:ascii="宋体" w:hAnsi="宋体" w:eastAsia="宋体" w:cs="宋体"/>
                <w:b/>
                <w:sz w:val="24"/>
                <w:szCs w:val="24"/>
                <w:lang w:bidi="he-IL"/>
              </w:rPr>
            </w:pPr>
            <w:r>
              <w:rPr>
                <w:rFonts w:hint="eastAsia" w:ascii="宋体" w:hAnsi="宋体" w:eastAsia="宋体" w:cs="宋体"/>
                <w:b/>
                <w:bCs/>
                <w:kern w:val="2"/>
                <w:sz w:val="24"/>
                <w:szCs w:val="24"/>
                <w:lang w:val="en-US" w:eastAsia="zh-CN" w:bidi="ar-SA"/>
              </w:rPr>
              <w:t>审查总体结论</w:t>
            </w:r>
          </w:p>
        </w:tc>
        <w:tc>
          <w:tcPr>
            <w:tcW w:w="1350" w:type="dxa"/>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ind w:firstLine="480" w:firstLineChars="200"/>
              <w:textAlignment w:val="auto"/>
              <w:rPr>
                <w:rFonts w:hint="eastAsia" w:ascii="宋体" w:hAnsi="宋体" w:eastAsia="宋体" w:cs="宋体"/>
                <w:sz w:val="24"/>
                <w:szCs w:val="24"/>
                <w:lang w:bidi="he-IL"/>
              </w:rPr>
            </w:pPr>
          </w:p>
        </w:tc>
        <w:tc>
          <w:tcPr>
            <w:tcW w:w="1276" w:type="dxa"/>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ind w:firstLine="480" w:firstLineChars="200"/>
              <w:textAlignment w:val="auto"/>
              <w:rPr>
                <w:rFonts w:hint="eastAsia" w:ascii="宋体" w:hAnsi="宋体" w:eastAsia="宋体" w:cs="宋体"/>
                <w:sz w:val="24"/>
                <w:szCs w:val="24"/>
                <w:lang w:bidi="he-IL"/>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pStyle w:val="9"/>
        <w:keepNext w:val="0"/>
        <w:keepLines w:val="0"/>
        <w:pageBreakBefore w:val="0"/>
        <w:kinsoku/>
        <w:wordWrap/>
        <w:overflowPunct/>
        <w:topLinePunct w:val="0"/>
        <w:bidi w:val="0"/>
        <w:spacing w:line="240" w:lineRule="auto"/>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 xml:space="preserve">评委签名： </w:t>
      </w:r>
      <w:r>
        <w:rPr>
          <w:rFonts w:hint="eastAsia" w:ascii="仿宋_GB2312" w:hAnsi="仿宋_GB2312" w:eastAsia="仿宋_GB2312" w:cs="仿宋_GB2312"/>
          <w:kern w:val="2"/>
          <w:sz w:val="28"/>
          <w:szCs w:val="28"/>
          <w:lang w:val="en-US" w:eastAsia="zh-CN" w:bidi="ar-SA"/>
        </w:rPr>
        <w:t xml:space="preserve">                         </w:t>
      </w:r>
    </w:p>
    <w:p>
      <w:pPr>
        <w:pStyle w:val="9"/>
        <w:keepNext w:val="0"/>
        <w:keepLines w:val="0"/>
        <w:pageBreakBefore w:val="0"/>
        <w:kinsoku/>
        <w:wordWrap/>
        <w:overflowPunct/>
        <w:topLinePunct w:val="0"/>
        <w:bidi w:val="0"/>
        <w:spacing w:line="240" w:lineRule="auto"/>
        <w:textAlignment w:val="auto"/>
        <w:rPr>
          <w:rFonts w:hint="eastAsia" w:ascii="仿宋_GB2312" w:hAnsi="仿宋_GB2312" w:eastAsia="仿宋_GB2312" w:cs="仿宋_GB2312"/>
          <w:kern w:val="2"/>
          <w:sz w:val="28"/>
          <w:szCs w:val="28"/>
          <w:lang w:val="en-US" w:eastAsia="zh-CN" w:bidi="ar-SA"/>
        </w:rPr>
      </w:pPr>
    </w:p>
    <w:p>
      <w:pPr>
        <w:pStyle w:val="9"/>
        <w:keepNext w:val="0"/>
        <w:keepLines w:val="0"/>
        <w:pageBreakBefore w:val="0"/>
        <w:kinsoku/>
        <w:wordWrap/>
        <w:overflowPunct/>
        <w:topLinePunct w:val="0"/>
        <w:bidi w:val="0"/>
        <w:spacing w:line="240" w:lineRule="auto"/>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snapToGrid w:val="0"/>
        <w:rPr>
          <w:rFonts w:hint="eastAsia" w:ascii="宋体" w:hAnsi="宋体"/>
          <w:sz w:val="23"/>
          <w:szCs w:val="23"/>
        </w:rPr>
      </w:pPr>
    </w:p>
    <w:p>
      <w:pPr>
        <w:snapToGrid w:val="0"/>
        <w:rPr>
          <w:rFonts w:hint="eastAsia" w:ascii="宋体" w:hAnsi="宋体"/>
          <w:sz w:val="23"/>
          <w:szCs w:val="23"/>
        </w:rPr>
      </w:pP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tbl>
      <w:tblPr>
        <w:tblStyle w:val="19"/>
        <w:tblpPr w:leftFromText="180" w:rightFromText="180" w:vertAnchor="text" w:horzAnchor="page" w:tblpX="1711"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highlight w:val="none"/>
                <w:lang w:val="en-US" w:eastAsia="zh-CN"/>
              </w:rPr>
              <w:t>服务评分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2"/>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40</w:t>
            </w:r>
          </w:p>
        </w:tc>
        <w:tc>
          <w:tcPr>
            <w:tcW w:w="2225"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2225"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r>
    </w:tbl>
    <w:p>
      <w:pPr>
        <w:rPr>
          <w:rFonts w:hint="eastAsia"/>
          <w:lang w:val="en-US" w:eastAsia="zh-CN"/>
        </w:rPr>
      </w:pPr>
    </w:p>
    <w:p>
      <w:pPr>
        <w:rPr>
          <w:rFonts w:hint="eastAsia"/>
          <w:lang w:val="en-US" w:eastAsia="zh-CN"/>
        </w:rPr>
      </w:pPr>
    </w:p>
    <w:p>
      <w:pPr>
        <w:rPr>
          <w:rFonts w:hint="default"/>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2"/>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18"/>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7769" w:type="dxa"/>
            <w:shd w:val="clear" w:color="auto" w:fill="C0C0C0"/>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将评标委员会评审后的所有有效投标人的评标价，取</w:t>
            </w:r>
            <w:r>
              <w:rPr>
                <w:rFonts w:hint="eastAsia" w:ascii="宋体" w:hAnsi="宋体"/>
                <w:b/>
                <w:sz w:val="24"/>
                <w:szCs w:val="24"/>
              </w:rPr>
              <w:t>最高</w:t>
            </w:r>
            <w:r>
              <w:rPr>
                <w:rFonts w:hint="eastAsia" w:ascii="宋体" w:hAnsi="宋体"/>
                <w:sz w:val="24"/>
                <w:szCs w:val="24"/>
              </w:rPr>
              <w:t>评标价</w:t>
            </w:r>
            <w:r>
              <w:rPr>
                <w:rFonts w:hint="eastAsia" w:ascii="宋体" w:hAnsi="宋体"/>
                <w:b/>
                <w:sz w:val="24"/>
                <w:szCs w:val="24"/>
              </w:rPr>
              <w:t>（一年租金）</w:t>
            </w:r>
            <w:r>
              <w:rPr>
                <w:rFonts w:hint="eastAsia" w:ascii="宋体" w:hAnsi="宋体"/>
                <w:sz w:val="24"/>
                <w:szCs w:val="24"/>
              </w:rPr>
              <w:t>作为基准价格，等于基准价格的评标价定为30分，</w:t>
            </w:r>
            <w:r>
              <w:rPr>
                <w:rFonts w:hint="eastAsia" w:ascii="宋体" w:hAnsi="宋体"/>
                <w:b/>
                <w:sz w:val="24"/>
                <w:szCs w:val="24"/>
              </w:rPr>
              <w:t>低于</w:t>
            </w:r>
            <w:r>
              <w:rPr>
                <w:rFonts w:hint="eastAsia" w:ascii="宋体" w:hAnsi="宋体"/>
                <w:sz w:val="24"/>
                <w:szCs w:val="24"/>
              </w:rPr>
              <w:t>基准价格的评标价则按以下公式计算：</w:t>
            </w:r>
          </w:p>
          <w:p>
            <w:pPr>
              <w:keepNext w:val="0"/>
              <w:keepLines w:val="0"/>
              <w:suppressLineNumbers w:val="0"/>
              <w:snapToGrid w:val="0"/>
              <w:spacing w:before="0" w:beforeAutospacing="0" w:after="0" w:afterAutospacing="0" w:line="360" w:lineRule="auto"/>
              <w:ind w:left="0" w:right="0" w:firstLine="960" w:firstLineChars="400"/>
              <w:rPr>
                <w:rFonts w:hint="eastAsia" w:ascii="宋体" w:hAnsi="宋体"/>
                <w:sz w:val="24"/>
                <w:szCs w:val="24"/>
              </w:rPr>
            </w:pPr>
            <w:r>
              <w:rPr>
                <w:rFonts w:hint="eastAsia" w:ascii="宋体" w:hAnsi="宋体"/>
                <w:sz w:val="24"/>
                <w:szCs w:val="24"/>
              </w:rPr>
              <w:t>价格评分＝（评标价÷基准价）×30</w:t>
            </w:r>
          </w:p>
          <w:p>
            <w:pPr>
              <w:keepNext w:val="0"/>
              <w:keepLines w:val="0"/>
              <w:widowControl w:val="0"/>
              <w:suppressLineNumbers w:val="0"/>
              <w:spacing w:before="0" w:beforeAutospacing="0" w:after="0" w:afterAutospacing="0"/>
              <w:ind w:left="0" w:right="0" w:firstLine="2168" w:firstLineChars="900"/>
              <w:jc w:val="both"/>
              <w:rPr>
                <w:rFonts w:hint="default" w:ascii="宋体" w:hAnsi="宋体"/>
                <w:b/>
                <w:color w:val="000000"/>
                <w:sz w:val="24"/>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000000"/>
                <w:sz w:val="24"/>
                <w:lang w:eastAsia="zh-CN"/>
              </w:rPr>
            </w:pPr>
            <w:r>
              <w:rPr>
                <w:rFonts w:hint="eastAsia" w:ascii="宋体" w:hAnsi="宋体"/>
                <w:color w:val="000000"/>
                <w:sz w:val="24"/>
                <w:lang w:val="en-US" w:eastAsia="zh-CN"/>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keepNext w:val="0"/>
              <w:keepLines w:val="0"/>
              <w:suppressLineNumbers w:val="0"/>
              <w:spacing w:before="0" w:beforeAutospacing="0" w:after="0" w:afterAutospacing="0" w:line="400" w:lineRule="exact"/>
              <w:ind w:left="0" w:right="0"/>
              <w:jc w:val="right"/>
              <w:rPr>
                <w:rFonts w:hint="default"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b/>
                <w:color w:val="000000"/>
                <w:sz w:val="24"/>
                <w:lang w:val="en-US" w:eastAsia="zh-CN"/>
              </w:rPr>
            </w:pPr>
            <w:r>
              <w:rPr>
                <w:rFonts w:hint="eastAsia" w:ascii="宋体" w:hAnsi="宋体"/>
                <w:b/>
                <w:color w:val="000000"/>
                <w:sz w:val="24"/>
                <w:lang w:val="en-US" w:eastAsia="zh-CN"/>
              </w:rPr>
              <w:t>30分</w:t>
            </w:r>
          </w:p>
        </w:tc>
      </w:tr>
    </w:tbl>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bidi w:val="0"/>
        <w:rPr>
          <w:rFonts w:hint="eastAsia"/>
          <w:b/>
          <w:bCs/>
          <w:sz w:val="28"/>
          <w:szCs w:val="28"/>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snapToGrid w:val="0"/>
        <w:spacing w:line="360" w:lineRule="auto"/>
        <w:ind w:left="2"/>
        <w:jc w:val="left"/>
        <w:rPr>
          <w:rFonts w:hint="eastAsia" w:ascii="宋体" w:hAnsi="宋体"/>
          <w:b/>
          <w:sz w:val="28"/>
          <w:szCs w:val="28"/>
        </w:rPr>
      </w:pPr>
      <w:r>
        <w:rPr>
          <w:rFonts w:hint="eastAsia" w:ascii="宋体" w:hAnsi="宋体"/>
          <w:b/>
          <w:sz w:val="28"/>
          <w:szCs w:val="28"/>
          <w:lang w:eastAsia="zh-CN"/>
        </w:rPr>
        <w:t xml:space="preserve">      </w:t>
      </w:r>
      <w:r>
        <w:rPr>
          <w:rFonts w:hint="eastAsia" w:ascii="宋体" w:hAnsi="宋体"/>
          <w:b/>
          <w:sz w:val="28"/>
          <w:szCs w:val="28"/>
          <w:lang w:val="en-US" w:eastAsia="zh-CN"/>
        </w:rPr>
        <w:t xml:space="preserve">                 </w:t>
      </w:r>
      <w:r>
        <w:rPr>
          <w:rFonts w:hint="eastAsia" w:ascii="宋体" w:hAnsi="宋体"/>
          <w:b/>
          <w:sz w:val="28"/>
          <w:szCs w:val="28"/>
          <w:lang w:eastAsia="zh-CN"/>
        </w:rPr>
        <w:t xml:space="preserve"> </w:t>
      </w:r>
      <w:r>
        <w:rPr>
          <w:rFonts w:hint="eastAsia" w:ascii="宋体" w:hAnsi="宋体"/>
          <w:b/>
          <w:sz w:val="28"/>
          <w:szCs w:val="28"/>
        </w:rPr>
        <w:t>商务评</w:t>
      </w:r>
      <w:r>
        <w:rPr>
          <w:rFonts w:hint="eastAsia" w:ascii="宋体" w:hAnsi="宋体"/>
          <w:b/>
          <w:sz w:val="28"/>
          <w:szCs w:val="28"/>
          <w:lang w:val="en-US" w:eastAsia="zh-CN"/>
        </w:rPr>
        <w:t>分</w:t>
      </w:r>
      <w:r>
        <w:rPr>
          <w:rFonts w:hint="eastAsia" w:ascii="宋体" w:hAnsi="宋体"/>
          <w:b/>
          <w:sz w:val="28"/>
          <w:szCs w:val="28"/>
        </w:rPr>
        <w:t>表</w:t>
      </w:r>
    </w:p>
    <w:tbl>
      <w:tblPr>
        <w:tblStyle w:val="1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8"/>
        <w:gridCol w:w="1738"/>
        <w:gridCol w:w="628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6" w:hRule="atLeast"/>
          <w:tblHeader/>
          <w:jc w:val="center"/>
        </w:trPr>
        <w:tc>
          <w:tcPr>
            <w:tcW w:w="608" w:type="dxa"/>
            <w:shd w:val="clear" w:color="auto" w:fill="BEBEBE"/>
            <w:noWrap w:val="0"/>
            <w:vAlign w:val="center"/>
          </w:tcPr>
          <w:p>
            <w:pPr>
              <w:spacing w:line="360" w:lineRule="exact"/>
              <w:ind w:left="-50" w:right="-51"/>
              <w:jc w:val="center"/>
              <w:rPr>
                <w:rFonts w:ascii="宋体" w:hAnsi="宋体" w:cs="宋体"/>
                <w:b/>
                <w:sz w:val="24"/>
                <w:szCs w:val="24"/>
              </w:rPr>
            </w:pPr>
            <w:r>
              <w:rPr>
                <w:rFonts w:hint="eastAsia" w:ascii="宋体" w:hAnsi="宋体" w:cs="宋体"/>
                <w:b/>
                <w:sz w:val="24"/>
                <w:szCs w:val="24"/>
              </w:rPr>
              <w:t>序号</w:t>
            </w:r>
          </w:p>
        </w:tc>
        <w:tc>
          <w:tcPr>
            <w:tcW w:w="1738" w:type="dxa"/>
            <w:shd w:val="clear" w:color="auto" w:fill="BEBEBE"/>
            <w:noWrap w:val="0"/>
            <w:vAlign w:val="center"/>
          </w:tcPr>
          <w:p>
            <w:pPr>
              <w:spacing w:line="360" w:lineRule="exact"/>
              <w:ind w:left="-50" w:right="-51"/>
              <w:jc w:val="center"/>
              <w:rPr>
                <w:rFonts w:ascii="宋体" w:hAnsi="宋体" w:cs="宋体"/>
                <w:b/>
                <w:sz w:val="24"/>
                <w:szCs w:val="24"/>
              </w:rPr>
            </w:pPr>
            <w:r>
              <w:rPr>
                <w:rFonts w:hint="eastAsia" w:ascii="宋体" w:hAnsi="宋体" w:cs="宋体"/>
                <w:b/>
                <w:sz w:val="24"/>
                <w:szCs w:val="24"/>
              </w:rPr>
              <w:t>评分项</w:t>
            </w:r>
          </w:p>
        </w:tc>
        <w:tc>
          <w:tcPr>
            <w:tcW w:w="6283" w:type="dxa"/>
            <w:shd w:val="clear" w:color="auto" w:fill="BEBEBE"/>
            <w:noWrap w:val="0"/>
            <w:vAlign w:val="center"/>
          </w:tcPr>
          <w:p>
            <w:pPr>
              <w:spacing w:line="360" w:lineRule="exact"/>
              <w:ind w:left="-50" w:right="-37"/>
              <w:jc w:val="center"/>
              <w:rPr>
                <w:rFonts w:ascii="宋体" w:hAnsi="宋体" w:cs="宋体"/>
                <w:b/>
                <w:sz w:val="24"/>
                <w:szCs w:val="24"/>
              </w:rPr>
            </w:pPr>
            <w:r>
              <w:rPr>
                <w:rFonts w:hint="eastAsia" w:ascii="宋体" w:hAnsi="宋体" w:cs="宋体"/>
                <w:b/>
                <w:sz w:val="24"/>
                <w:szCs w:val="24"/>
              </w:rPr>
              <w:t>评分内容</w:t>
            </w:r>
          </w:p>
        </w:tc>
        <w:tc>
          <w:tcPr>
            <w:tcW w:w="698" w:type="dxa"/>
            <w:shd w:val="clear" w:color="auto" w:fill="BEBEBE"/>
            <w:noWrap w:val="0"/>
            <w:vAlign w:val="center"/>
          </w:tcPr>
          <w:p>
            <w:pPr>
              <w:spacing w:line="360" w:lineRule="exact"/>
              <w:ind w:left="-105" w:leftChars="-50" w:right="-107" w:rightChars="-51"/>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jc w:val="center"/>
        </w:trPr>
        <w:tc>
          <w:tcPr>
            <w:tcW w:w="608" w:type="dxa"/>
            <w:noWrap w:val="0"/>
            <w:vAlign w:val="center"/>
          </w:tcPr>
          <w:p>
            <w:pPr>
              <w:spacing w:before="46" w:beforeLines="15" w:after="46" w:afterLines="15"/>
              <w:ind w:left="-50" w:right="-51"/>
              <w:jc w:val="center"/>
              <w:rPr>
                <w:rFonts w:ascii="宋体" w:hAnsi="宋体" w:cs="宋体"/>
                <w:sz w:val="24"/>
                <w:szCs w:val="24"/>
              </w:rPr>
            </w:pPr>
            <w:r>
              <w:rPr>
                <w:rFonts w:hint="eastAsia" w:ascii="宋体" w:hAnsi="宋体" w:cs="宋体"/>
                <w:sz w:val="24"/>
                <w:szCs w:val="24"/>
              </w:rPr>
              <w:t>1</w:t>
            </w:r>
          </w:p>
        </w:tc>
        <w:tc>
          <w:tcPr>
            <w:tcW w:w="1738" w:type="dxa"/>
            <w:noWrap w:val="0"/>
            <w:vAlign w:val="center"/>
          </w:tcPr>
          <w:p>
            <w:pPr>
              <w:widowControl/>
              <w:spacing w:before="46" w:beforeLines="15" w:after="46" w:afterLines="15"/>
              <w:jc w:val="center"/>
              <w:rPr>
                <w:rFonts w:ascii="宋体" w:hAnsi="宋体" w:cs="宋体"/>
                <w:kern w:val="0"/>
                <w:sz w:val="24"/>
                <w:szCs w:val="24"/>
              </w:rPr>
            </w:pPr>
            <w:r>
              <w:rPr>
                <w:rFonts w:hint="eastAsia" w:ascii="宋体" w:hAnsi="宋体" w:cs="宋体"/>
                <w:kern w:val="0"/>
                <w:sz w:val="24"/>
                <w:szCs w:val="24"/>
              </w:rPr>
              <w:t>响应情况</w:t>
            </w:r>
          </w:p>
        </w:tc>
        <w:tc>
          <w:tcPr>
            <w:tcW w:w="6283" w:type="dxa"/>
            <w:noWrap w:val="0"/>
            <w:vAlign w:val="center"/>
          </w:tcPr>
          <w:p>
            <w:pPr>
              <w:pStyle w:val="34"/>
              <w:spacing w:before="46" w:beforeLines="15" w:after="46" w:afterLines="15"/>
              <w:rPr>
                <w:rFonts w:ascii="宋体" w:hAnsi="宋体"/>
                <w:sz w:val="24"/>
              </w:rPr>
            </w:pPr>
            <w:r>
              <w:rPr>
                <w:rFonts w:hint="eastAsia" w:ascii="宋体" w:hAnsi="宋体"/>
                <w:sz w:val="24"/>
              </w:rPr>
              <w:t>供应商对商务条款及合同条款的应答情况。</w:t>
            </w:r>
          </w:p>
          <w:p>
            <w:pPr>
              <w:pStyle w:val="34"/>
              <w:spacing w:before="46" w:beforeLines="15" w:after="46" w:afterLines="15"/>
              <w:rPr>
                <w:rFonts w:ascii="宋体" w:hAnsi="宋体"/>
                <w:sz w:val="24"/>
              </w:rPr>
            </w:pPr>
            <w:r>
              <w:rPr>
                <w:rFonts w:hint="eastAsia" w:ascii="宋体" w:hAnsi="宋体"/>
                <w:sz w:val="24"/>
              </w:rPr>
              <w:t>完全满足得满分，有不满足的，每不满足一点在满分基础上扣2分，扣完为止。</w:t>
            </w:r>
          </w:p>
        </w:tc>
        <w:tc>
          <w:tcPr>
            <w:tcW w:w="698" w:type="dxa"/>
            <w:noWrap w:val="0"/>
            <w:vAlign w:val="center"/>
          </w:tcPr>
          <w:p>
            <w:pPr>
              <w:spacing w:before="46" w:beforeLines="15" w:after="46" w:afterLines="15"/>
              <w:jc w:val="center"/>
              <w:rPr>
                <w:rFonts w:ascii="宋体" w:hAnsi="宋体" w:cs="宋体"/>
                <w:sz w:val="24"/>
                <w:szCs w:val="24"/>
              </w:rPr>
            </w:pPr>
            <w:r>
              <w:rPr>
                <w:rFonts w:hint="eastAsia" w:ascii="宋体" w:hAnsi="宋体"/>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608" w:type="dxa"/>
            <w:noWrap w:val="0"/>
            <w:vAlign w:val="center"/>
          </w:tcPr>
          <w:p>
            <w:pPr>
              <w:spacing w:before="46" w:beforeLines="15" w:after="46" w:afterLines="15"/>
              <w:ind w:left="-50" w:right="-51"/>
              <w:jc w:val="center"/>
              <w:rPr>
                <w:rFonts w:ascii="宋体" w:hAnsi="宋体" w:cs="宋体"/>
                <w:sz w:val="24"/>
                <w:szCs w:val="24"/>
              </w:rPr>
            </w:pPr>
            <w:r>
              <w:rPr>
                <w:rFonts w:hint="eastAsia" w:ascii="宋体" w:hAnsi="宋体" w:cs="宋体"/>
                <w:sz w:val="24"/>
                <w:szCs w:val="24"/>
              </w:rPr>
              <w:t>2</w:t>
            </w:r>
          </w:p>
        </w:tc>
        <w:tc>
          <w:tcPr>
            <w:tcW w:w="1738" w:type="dxa"/>
            <w:noWrap w:val="0"/>
            <w:vAlign w:val="center"/>
          </w:tcPr>
          <w:p>
            <w:pPr>
              <w:widowControl/>
              <w:spacing w:before="46" w:beforeLines="15" w:after="46" w:afterLines="15"/>
              <w:jc w:val="center"/>
              <w:rPr>
                <w:rFonts w:ascii="宋体" w:hAnsi="宋体" w:cs="宋体"/>
                <w:kern w:val="0"/>
                <w:sz w:val="24"/>
                <w:szCs w:val="24"/>
              </w:rPr>
            </w:pPr>
            <w:r>
              <w:rPr>
                <w:rFonts w:hint="eastAsia" w:ascii="宋体" w:hAnsi="宋体" w:cs="宋体"/>
                <w:kern w:val="0"/>
                <w:sz w:val="24"/>
                <w:szCs w:val="24"/>
              </w:rPr>
              <w:t>同类经验</w:t>
            </w:r>
          </w:p>
        </w:tc>
        <w:tc>
          <w:tcPr>
            <w:tcW w:w="6283" w:type="dxa"/>
            <w:noWrap w:val="0"/>
            <w:vAlign w:val="center"/>
          </w:tcPr>
          <w:p>
            <w:pPr>
              <w:pStyle w:val="34"/>
              <w:spacing w:before="46" w:beforeLines="15" w:after="46" w:afterLines="15"/>
              <w:rPr>
                <w:rFonts w:hint="eastAsia" w:ascii="宋体" w:hAnsi="宋体"/>
                <w:sz w:val="24"/>
              </w:rPr>
            </w:pPr>
            <w:r>
              <w:rPr>
                <w:rFonts w:hint="eastAsia" w:ascii="宋体" w:hAnsi="宋体"/>
                <w:sz w:val="24"/>
              </w:rPr>
              <w:t>供应商具有同类业务经营经验，</w:t>
            </w:r>
            <w:r>
              <w:rPr>
                <w:rFonts w:hint="default" w:ascii="宋体" w:hAnsi="宋体"/>
                <w:sz w:val="24"/>
                <w:lang w:val="en-US"/>
              </w:rPr>
              <w:t>1</w:t>
            </w:r>
            <w:r>
              <w:rPr>
                <w:rFonts w:hint="eastAsia" w:ascii="宋体" w:hAnsi="宋体"/>
                <w:sz w:val="24"/>
              </w:rPr>
              <w:t>年-</w:t>
            </w:r>
            <w:r>
              <w:rPr>
                <w:rFonts w:hint="default" w:ascii="宋体" w:hAnsi="宋体"/>
                <w:sz w:val="24"/>
                <w:lang w:val="en-US"/>
              </w:rPr>
              <w:t>2</w:t>
            </w:r>
            <w:r>
              <w:rPr>
                <w:rFonts w:hint="eastAsia" w:ascii="宋体" w:hAnsi="宋体"/>
                <w:sz w:val="24"/>
              </w:rPr>
              <w:t>年（含）的，得2分；</w:t>
            </w:r>
            <w:r>
              <w:rPr>
                <w:rFonts w:hint="default" w:ascii="宋体" w:hAnsi="宋体"/>
                <w:sz w:val="24"/>
                <w:lang w:val="en-US"/>
              </w:rPr>
              <w:t>3</w:t>
            </w:r>
            <w:r>
              <w:rPr>
                <w:rFonts w:hint="eastAsia" w:ascii="宋体" w:hAnsi="宋体"/>
                <w:sz w:val="24"/>
              </w:rPr>
              <w:t>年-</w:t>
            </w:r>
            <w:r>
              <w:rPr>
                <w:rFonts w:hint="default" w:ascii="宋体" w:hAnsi="宋体"/>
                <w:sz w:val="24"/>
                <w:lang w:val="en-US"/>
              </w:rPr>
              <w:t>4</w:t>
            </w:r>
            <w:r>
              <w:rPr>
                <w:rFonts w:hint="eastAsia" w:ascii="宋体" w:hAnsi="宋体"/>
                <w:sz w:val="24"/>
              </w:rPr>
              <w:t>年（含）以上的，得4分；</w:t>
            </w:r>
            <w:r>
              <w:rPr>
                <w:rFonts w:hint="default" w:ascii="宋体" w:hAnsi="宋体"/>
                <w:sz w:val="24"/>
                <w:lang w:val="en-US"/>
              </w:rPr>
              <w:t>4</w:t>
            </w:r>
            <w:r>
              <w:rPr>
                <w:rFonts w:hint="eastAsia" w:ascii="宋体" w:hAnsi="宋体"/>
                <w:sz w:val="24"/>
              </w:rPr>
              <w:t>年以上的，得6分。</w:t>
            </w:r>
          </w:p>
          <w:p>
            <w:pPr>
              <w:pStyle w:val="34"/>
              <w:spacing w:before="46" w:beforeLines="15" w:after="46" w:afterLines="15"/>
              <w:rPr>
                <w:rFonts w:ascii="宋体" w:hAnsi="宋体"/>
                <w:sz w:val="24"/>
              </w:rPr>
            </w:pPr>
            <w:r>
              <w:rPr>
                <w:rFonts w:hint="eastAsia" w:ascii="宋体" w:hAnsi="宋体"/>
                <w:sz w:val="24"/>
              </w:rPr>
              <w:t>注：需提供经营经验证明材料复印件</w:t>
            </w:r>
          </w:p>
        </w:tc>
        <w:tc>
          <w:tcPr>
            <w:tcW w:w="698" w:type="dxa"/>
            <w:noWrap w:val="0"/>
            <w:vAlign w:val="center"/>
          </w:tcPr>
          <w:p>
            <w:pPr>
              <w:spacing w:before="46" w:beforeLines="15" w:after="46" w:afterLines="15"/>
              <w:jc w:val="center"/>
              <w:rPr>
                <w:rFonts w:ascii="宋体" w:hAnsi="宋体"/>
                <w:bCs/>
                <w:sz w:val="24"/>
                <w:szCs w:val="24"/>
              </w:rPr>
            </w:pPr>
            <w:r>
              <w:rPr>
                <w:rFonts w:hint="eastAsia" w:ascii="宋体" w:hAnsi="宋体"/>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608" w:type="dxa"/>
            <w:noWrap w:val="0"/>
            <w:vAlign w:val="center"/>
          </w:tcPr>
          <w:p>
            <w:pPr>
              <w:spacing w:before="46" w:beforeLines="15" w:after="46" w:afterLines="15"/>
              <w:ind w:left="-50" w:right="-51"/>
              <w:jc w:val="center"/>
              <w:rPr>
                <w:rFonts w:hint="eastAsia" w:ascii="宋体" w:hAnsi="宋体" w:cs="宋体"/>
                <w:sz w:val="24"/>
                <w:szCs w:val="24"/>
              </w:rPr>
            </w:pPr>
            <w:r>
              <w:rPr>
                <w:rFonts w:hint="eastAsia" w:ascii="宋体" w:hAnsi="宋体" w:cs="宋体"/>
                <w:sz w:val="24"/>
                <w:szCs w:val="24"/>
              </w:rPr>
              <w:t>3</w:t>
            </w:r>
          </w:p>
        </w:tc>
        <w:tc>
          <w:tcPr>
            <w:tcW w:w="1738" w:type="dxa"/>
            <w:noWrap w:val="0"/>
            <w:vAlign w:val="center"/>
          </w:tcPr>
          <w:p>
            <w:pPr>
              <w:widowControl/>
              <w:spacing w:before="46" w:beforeLines="15" w:after="46" w:afterLines="15"/>
              <w:jc w:val="center"/>
              <w:rPr>
                <w:rFonts w:hint="eastAsia" w:ascii="宋体" w:hAnsi="宋体" w:cs="宋体"/>
                <w:kern w:val="0"/>
                <w:sz w:val="24"/>
                <w:szCs w:val="24"/>
              </w:rPr>
            </w:pPr>
            <w:r>
              <w:rPr>
                <w:rFonts w:hint="eastAsia" w:ascii="宋体" w:hAnsi="宋体" w:cs="宋体"/>
                <w:kern w:val="0"/>
                <w:sz w:val="24"/>
                <w:szCs w:val="24"/>
              </w:rPr>
              <w:t>投标人实力</w:t>
            </w:r>
          </w:p>
        </w:tc>
        <w:tc>
          <w:tcPr>
            <w:tcW w:w="6283" w:type="dxa"/>
            <w:noWrap w:val="0"/>
            <w:vAlign w:val="center"/>
          </w:tcPr>
          <w:p>
            <w:pPr>
              <w:pStyle w:val="34"/>
              <w:spacing w:before="46" w:beforeLines="15" w:after="46" w:afterLines="15"/>
              <w:rPr>
                <w:rFonts w:hint="eastAsia" w:ascii="宋体" w:hAnsi="宋体"/>
                <w:sz w:val="24"/>
              </w:rPr>
            </w:pPr>
            <w:r>
              <w:rPr>
                <w:rFonts w:hint="eastAsia" w:ascii="宋体" w:hAnsi="宋体"/>
                <w:sz w:val="24"/>
              </w:rPr>
              <w:t>投标人在经营的</w:t>
            </w:r>
            <w:r>
              <w:rPr>
                <w:rFonts w:hint="eastAsia" w:ascii="宋体" w:hAnsi="宋体"/>
                <w:sz w:val="24"/>
                <w:lang w:eastAsia="zh-CN"/>
              </w:rPr>
              <w:t>餐饮</w:t>
            </w:r>
            <w:r>
              <w:rPr>
                <w:rFonts w:hint="eastAsia" w:ascii="宋体" w:hAnsi="宋体"/>
                <w:sz w:val="24"/>
              </w:rPr>
              <w:t>店数量，每家得2分，最高得</w:t>
            </w:r>
            <w:r>
              <w:rPr>
                <w:rFonts w:hint="default" w:ascii="宋体" w:hAnsi="宋体"/>
                <w:sz w:val="24"/>
                <w:lang w:val="en-US"/>
              </w:rPr>
              <w:t>6</w:t>
            </w:r>
            <w:r>
              <w:rPr>
                <w:rFonts w:hint="eastAsia" w:ascii="宋体" w:hAnsi="宋体"/>
                <w:sz w:val="24"/>
              </w:rPr>
              <w:t>分。</w:t>
            </w:r>
          </w:p>
          <w:p>
            <w:pPr>
              <w:pStyle w:val="34"/>
              <w:spacing w:before="46" w:beforeLines="15" w:after="46" w:afterLines="15"/>
              <w:rPr>
                <w:rFonts w:hint="eastAsia" w:ascii="宋体" w:hAnsi="宋体"/>
                <w:sz w:val="24"/>
              </w:rPr>
            </w:pPr>
            <w:r>
              <w:rPr>
                <w:rFonts w:hint="eastAsia" w:ascii="宋体" w:hAnsi="宋体"/>
                <w:sz w:val="24"/>
              </w:rPr>
              <w:t>注:需提供产权证明(或租赁合同)以及营业执照复印件加盖公章作为证明文件，证明文件不齐全不得分。</w:t>
            </w:r>
          </w:p>
        </w:tc>
        <w:tc>
          <w:tcPr>
            <w:tcW w:w="698" w:type="dxa"/>
            <w:noWrap w:val="0"/>
            <w:vAlign w:val="center"/>
          </w:tcPr>
          <w:p>
            <w:pPr>
              <w:spacing w:before="46" w:beforeLines="15" w:after="46" w:afterLines="15"/>
              <w:jc w:val="center"/>
              <w:rPr>
                <w:rFonts w:hint="eastAsia" w:ascii="宋体" w:hAnsi="宋体"/>
                <w:bCs/>
                <w:sz w:val="24"/>
                <w:szCs w:val="24"/>
              </w:rPr>
            </w:pPr>
            <w:r>
              <w:rPr>
                <w:rFonts w:hint="default" w:ascii="宋体" w:hAnsi="宋体"/>
                <w:bCs/>
                <w:sz w:val="24"/>
                <w:szCs w:val="24"/>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9" w:hRule="atLeast"/>
          <w:jc w:val="center"/>
        </w:trPr>
        <w:tc>
          <w:tcPr>
            <w:tcW w:w="608" w:type="dxa"/>
            <w:noWrap w:val="0"/>
            <w:vAlign w:val="center"/>
          </w:tcPr>
          <w:p>
            <w:pPr>
              <w:spacing w:before="46" w:beforeLines="15" w:after="46" w:afterLines="15"/>
              <w:ind w:left="-50" w:right="-51"/>
              <w:jc w:val="center"/>
              <w:rPr>
                <w:rFonts w:ascii="宋体" w:hAnsi="宋体" w:cs="宋体"/>
                <w:sz w:val="24"/>
                <w:szCs w:val="24"/>
              </w:rPr>
            </w:pPr>
            <w:r>
              <w:rPr>
                <w:rFonts w:hint="eastAsia" w:ascii="宋体" w:hAnsi="宋体" w:cs="宋体"/>
                <w:sz w:val="24"/>
                <w:szCs w:val="24"/>
              </w:rPr>
              <w:t>4</w:t>
            </w:r>
          </w:p>
        </w:tc>
        <w:tc>
          <w:tcPr>
            <w:tcW w:w="1738" w:type="dxa"/>
            <w:noWrap w:val="0"/>
            <w:vAlign w:val="center"/>
          </w:tcPr>
          <w:p>
            <w:pPr>
              <w:widowControl/>
              <w:spacing w:before="46" w:beforeLines="15" w:after="46" w:afterLines="15"/>
              <w:jc w:val="center"/>
              <w:rPr>
                <w:rFonts w:ascii="宋体" w:hAnsi="宋体" w:cs="宋体"/>
                <w:kern w:val="0"/>
                <w:sz w:val="24"/>
                <w:szCs w:val="24"/>
              </w:rPr>
            </w:pPr>
            <w:r>
              <w:rPr>
                <w:rFonts w:ascii="宋体" w:hAnsi="宋体" w:cs="宋体"/>
                <w:kern w:val="0"/>
                <w:sz w:val="24"/>
                <w:szCs w:val="24"/>
              </w:rPr>
              <w:t>经营负责人经验</w:t>
            </w:r>
          </w:p>
        </w:tc>
        <w:tc>
          <w:tcPr>
            <w:tcW w:w="6283" w:type="dxa"/>
            <w:noWrap w:val="0"/>
            <w:vAlign w:val="center"/>
          </w:tcPr>
          <w:p>
            <w:pPr>
              <w:pStyle w:val="34"/>
              <w:spacing w:before="46" w:beforeLines="15" w:after="46" w:afterLines="15"/>
              <w:rPr>
                <w:rFonts w:ascii="宋体" w:hAnsi="宋体"/>
                <w:sz w:val="24"/>
              </w:rPr>
            </w:pPr>
            <w:r>
              <w:rPr>
                <w:rFonts w:ascii="宋体" w:hAnsi="宋体"/>
                <w:sz w:val="24"/>
              </w:rPr>
              <w:t>经营负责人连续参与经营活动经验，</w:t>
            </w:r>
            <w:r>
              <w:rPr>
                <w:rFonts w:ascii="宋体" w:hAnsi="宋体"/>
                <w:sz w:val="24"/>
                <w:lang w:val="en-US"/>
              </w:rPr>
              <w:t>1</w:t>
            </w:r>
            <w:r>
              <w:rPr>
                <w:rFonts w:hint="eastAsia" w:ascii="宋体" w:hAnsi="宋体"/>
                <w:sz w:val="24"/>
              </w:rPr>
              <w:t>年-</w:t>
            </w:r>
            <w:r>
              <w:rPr>
                <w:rFonts w:hint="default" w:ascii="宋体" w:hAnsi="宋体"/>
                <w:sz w:val="24"/>
                <w:lang w:val="en-US"/>
              </w:rPr>
              <w:t>3</w:t>
            </w:r>
            <w:r>
              <w:rPr>
                <w:rFonts w:hint="eastAsia" w:ascii="宋体" w:hAnsi="宋体"/>
                <w:sz w:val="24"/>
              </w:rPr>
              <w:t>年（含）的，得2分；</w:t>
            </w:r>
            <w:r>
              <w:rPr>
                <w:rFonts w:hint="default" w:ascii="宋体" w:hAnsi="宋体"/>
                <w:sz w:val="24"/>
                <w:lang w:val="en-US"/>
              </w:rPr>
              <w:t>3</w:t>
            </w:r>
            <w:r>
              <w:rPr>
                <w:rFonts w:hint="eastAsia" w:ascii="宋体" w:hAnsi="宋体"/>
                <w:sz w:val="24"/>
              </w:rPr>
              <w:t>年-</w:t>
            </w:r>
            <w:r>
              <w:rPr>
                <w:rFonts w:hint="default" w:ascii="宋体" w:hAnsi="宋体"/>
                <w:sz w:val="24"/>
                <w:lang w:val="en-US"/>
              </w:rPr>
              <w:t>5</w:t>
            </w:r>
            <w:r>
              <w:rPr>
                <w:rFonts w:hint="eastAsia" w:ascii="宋体" w:hAnsi="宋体"/>
                <w:sz w:val="24"/>
              </w:rPr>
              <w:t>年（含）的，得</w:t>
            </w:r>
            <w:r>
              <w:rPr>
                <w:rFonts w:hint="default" w:ascii="宋体" w:hAnsi="宋体"/>
                <w:sz w:val="24"/>
                <w:lang w:val="en-US"/>
              </w:rPr>
              <w:t>3</w:t>
            </w:r>
            <w:r>
              <w:rPr>
                <w:rFonts w:hint="eastAsia" w:ascii="宋体" w:hAnsi="宋体"/>
                <w:sz w:val="24"/>
              </w:rPr>
              <w:t>分；</w:t>
            </w:r>
            <w:r>
              <w:rPr>
                <w:rFonts w:hint="default" w:ascii="宋体" w:hAnsi="宋体"/>
                <w:sz w:val="24"/>
                <w:lang w:val="en-US"/>
              </w:rPr>
              <w:t>5</w:t>
            </w:r>
            <w:r>
              <w:rPr>
                <w:rFonts w:hint="eastAsia" w:ascii="宋体" w:hAnsi="宋体"/>
                <w:sz w:val="24"/>
              </w:rPr>
              <w:t>年以上的，得</w:t>
            </w:r>
            <w:r>
              <w:rPr>
                <w:rFonts w:hint="default" w:ascii="宋体" w:hAnsi="宋体"/>
                <w:sz w:val="24"/>
                <w:lang w:val="en-US"/>
              </w:rPr>
              <w:t>4</w:t>
            </w:r>
            <w:r>
              <w:rPr>
                <w:rFonts w:hint="eastAsia" w:ascii="宋体" w:hAnsi="宋体"/>
                <w:sz w:val="24"/>
              </w:rPr>
              <w:t>分。</w:t>
            </w:r>
          </w:p>
          <w:p>
            <w:pPr>
              <w:pStyle w:val="34"/>
              <w:spacing w:before="46" w:beforeLines="15" w:after="46" w:afterLines="15"/>
              <w:rPr>
                <w:rFonts w:ascii="宋体" w:hAnsi="宋体"/>
                <w:sz w:val="24"/>
              </w:rPr>
            </w:pPr>
            <w:r>
              <w:rPr>
                <w:rFonts w:hint="eastAsia" w:ascii="宋体" w:hAnsi="宋体"/>
                <w:sz w:val="24"/>
              </w:rPr>
              <w:t>注：需提供职务任职证明以及社保证明复印件</w:t>
            </w:r>
          </w:p>
        </w:tc>
        <w:tc>
          <w:tcPr>
            <w:tcW w:w="698" w:type="dxa"/>
            <w:noWrap w:val="0"/>
            <w:vAlign w:val="center"/>
          </w:tcPr>
          <w:p>
            <w:pPr>
              <w:spacing w:before="46" w:beforeLines="15" w:after="46" w:afterLines="15"/>
              <w:jc w:val="center"/>
              <w:rPr>
                <w:rFonts w:ascii="宋体" w:hAnsi="宋体" w:cs="宋体"/>
                <w:sz w:val="24"/>
                <w:szCs w:val="24"/>
              </w:rPr>
            </w:pPr>
            <w:r>
              <w:rPr>
                <w:rFonts w:ascii="宋体" w:hAnsi="宋体" w:cs="宋体"/>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9" w:hRule="atLeast"/>
          <w:jc w:val="center"/>
        </w:trPr>
        <w:tc>
          <w:tcPr>
            <w:tcW w:w="608" w:type="dxa"/>
            <w:noWrap w:val="0"/>
            <w:vAlign w:val="center"/>
          </w:tcPr>
          <w:p>
            <w:pPr>
              <w:spacing w:before="46" w:beforeLines="15" w:after="46" w:afterLines="15"/>
              <w:ind w:left="-50" w:right="-51"/>
              <w:jc w:val="center"/>
              <w:rPr>
                <w:rFonts w:ascii="宋体" w:hAnsi="宋体" w:cs="宋体"/>
                <w:sz w:val="24"/>
                <w:szCs w:val="24"/>
              </w:rPr>
            </w:pPr>
            <w:r>
              <w:rPr>
                <w:rFonts w:hint="eastAsia" w:ascii="宋体" w:hAnsi="宋体" w:cs="宋体"/>
                <w:sz w:val="24"/>
                <w:szCs w:val="24"/>
              </w:rPr>
              <w:t>5</w:t>
            </w:r>
          </w:p>
        </w:tc>
        <w:tc>
          <w:tcPr>
            <w:tcW w:w="1738" w:type="dxa"/>
            <w:noWrap w:val="0"/>
            <w:vAlign w:val="center"/>
          </w:tcPr>
          <w:p>
            <w:pPr>
              <w:pStyle w:val="35"/>
              <w:spacing w:before="46" w:beforeLines="15" w:after="46" w:afterLines="15"/>
              <w:jc w:val="center"/>
              <w:rPr>
                <w:rFonts w:ascii="宋体" w:hAnsi="宋体" w:cs="宋体"/>
                <w:sz w:val="24"/>
              </w:rPr>
            </w:pPr>
            <w:r>
              <w:rPr>
                <w:rFonts w:hint="eastAsia" w:ascii="宋体" w:hAnsi="宋体" w:cs="宋体"/>
                <w:sz w:val="24"/>
              </w:rPr>
              <w:t>业务符合性</w:t>
            </w:r>
          </w:p>
        </w:tc>
        <w:tc>
          <w:tcPr>
            <w:tcW w:w="6283" w:type="dxa"/>
            <w:noWrap w:val="0"/>
            <w:vAlign w:val="center"/>
          </w:tcPr>
          <w:p>
            <w:pPr>
              <w:pStyle w:val="34"/>
              <w:spacing w:before="46" w:beforeLines="15" w:after="46" w:afterLines="15"/>
              <w:rPr>
                <w:rFonts w:ascii="宋体" w:hAnsi="宋体"/>
                <w:sz w:val="24"/>
              </w:rPr>
            </w:pPr>
            <w:r>
              <w:rPr>
                <w:rFonts w:hint="eastAsia" w:ascii="宋体" w:hAnsi="宋体"/>
                <w:sz w:val="24"/>
              </w:rPr>
              <w:t>投标人经营的业务类型完全符合或优于采购要求：8分；</w:t>
            </w:r>
          </w:p>
          <w:p>
            <w:pPr>
              <w:pStyle w:val="34"/>
              <w:spacing w:before="46" w:beforeLines="15" w:after="46" w:afterLines="15"/>
              <w:rPr>
                <w:rFonts w:ascii="宋体" w:hAnsi="宋体"/>
                <w:sz w:val="24"/>
              </w:rPr>
            </w:pPr>
            <w:r>
              <w:rPr>
                <w:rFonts w:hint="eastAsia" w:ascii="宋体" w:hAnsi="宋体"/>
                <w:sz w:val="24"/>
              </w:rPr>
              <w:t>投标人经营的业务类型基本符合采购要求：4分；</w:t>
            </w:r>
          </w:p>
          <w:p>
            <w:pPr>
              <w:pStyle w:val="34"/>
              <w:spacing w:before="46" w:beforeLines="15" w:after="46" w:afterLines="15"/>
              <w:rPr>
                <w:rFonts w:hint="eastAsia" w:ascii="宋体" w:hAnsi="宋体"/>
                <w:sz w:val="24"/>
              </w:rPr>
            </w:pPr>
            <w:r>
              <w:rPr>
                <w:rFonts w:hint="eastAsia" w:ascii="宋体" w:hAnsi="宋体"/>
                <w:sz w:val="24"/>
              </w:rPr>
              <w:t>投标人经营的业务类型基本不符合采购要求：</w:t>
            </w:r>
            <w:r>
              <w:rPr>
                <w:rFonts w:ascii="宋体" w:hAnsi="宋体"/>
                <w:sz w:val="24"/>
              </w:rPr>
              <w:t>0</w:t>
            </w:r>
            <w:r>
              <w:rPr>
                <w:rFonts w:hint="eastAsia" w:ascii="宋体" w:hAnsi="宋体"/>
                <w:sz w:val="24"/>
              </w:rPr>
              <w:t>分。</w:t>
            </w:r>
          </w:p>
          <w:p>
            <w:pPr>
              <w:pStyle w:val="34"/>
              <w:spacing w:before="46" w:beforeLines="15" w:after="46" w:afterLines="15"/>
              <w:rPr>
                <w:rFonts w:ascii="宋体" w:hAnsi="宋体"/>
                <w:sz w:val="24"/>
              </w:rPr>
            </w:pPr>
            <w:r>
              <w:rPr>
                <w:rFonts w:hint="eastAsia" w:ascii="宋体" w:hAnsi="宋体"/>
                <w:sz w:val="24"/>
              </w:rPr>
              <w:t>根据投标人的经营方案中的业务类型与拟招租业态进行比较评审。</w:t>
            </w:r>
          </w:p>
        </w:tc>
        <w:tc>
          <w:tcPr>
            <w:tcW w:w="698" w:type="dxa"/>
            <w:noWrap w:val="0"/>
            <w:vAlign w:val="center"/>
          </w:tcPr>
          <w:p>
            <w:pPr>
              <w:spacing w:before="46" w:beforeLines="15" w:after="46" w:afterLines="15"/>
              <w:jc w:val="center"/>
              <w:rPr>
                <w:rFonts w:ascii="宋体" w:hAnsi="宋体" w:cs="宋体"/>
                <w:sz w:val="24"/>
                <w:szCs w:val="24"/>
              </w:rPr>
            </w:pPr>
            <w:r>
              <w:rPr>
                <w:rFonts w:hint="eastAsia" w:ascii="宋体" w:hAnsi="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8629" w:type="dxa"/>
            <w:gridSpan w:val="3"/>
            <w:noWrap w:val="0"/>
            <w:vAlign w:val="center"/>
          </w:tcPr>
          <w:p>
            <w:pPr>
              <w:pStyle w:val="36"/>
              <w:spacing w:line="360" w:lineRule="exact"/>
              <w:ind w:left="360" w:firstLine="0" w:firstLineChars="0"/>
              <w:jc w:val="center"/>
              <w:rPr>
                <w:rFonts w:ascii="宋体" w:hAnsi="宋体" w:cs="宋体"/>
                <w:b/>
                <w:bCs/>
                <w:sz w:val="24"/>
              </w:rPr>
            </w:pPr>
            <w:r>
              <w:rPr>
                <w:rFonts w:hint="eastAsia" w:ascii="宋体" w:hAnsi="宋体" w:cs="宋体"/>
                <w:b/>
                <w:bCs/>
                <w:sz w:val="24"/>
              </w:rPr>
              <w:t>合计</w:t>
            </w:r>
          </w:p>
        </w:tc>
        <w:tc>
          <w:tcPr>
            <w:tcW w:w="698" w:type="dxa"/>
            <w:noWrap w:val="0"/>
            <w:vAlign w:val="center"/>
          </w:tcPr>
          <w:p>
            <w:pPr>
              <w:pStyle w:val="36"/>
              <w:spacing w:line="360" w:lineRule="exact"/>
              <w:ind w:firstLine="0" w:firstLineChars="0"/>
              <w:jc w:val="center"/>
              <w:rPr>
                <w:rFonts w:ascii="宋体" w:hAnsi="宋体" w:cs="宋体"/>
                <w:b/>
                <w:bCs/>
                <w:sz w:val="24"/>
              </w:rPr>
            </w:pPr>
            <w:r>
              <w:rPr>
                <w:rFonts w:ascii="宋体" w:hAnsi="宋体" w:cs="宋体"/>
                <w:b/>
                <w:bCs/>
                <w:sz w:val="24"/>
              </w:rPr>
              <w:t>30</w:t>
            </w:r>
            <w:r>
              <w:rPr>
                <w:rFonts w:hint="eastAsia" w:ascii="宋体" w:hAnsi="宋体" w:cs="宋体"/>
                <w:b/>
                <w:bCs/>
                <w:sz w:val="24"/>
              </w:rPr>
              <w:t>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r>
        <w:rPr>
          <w:rFonts w:hint="eastAsia" w:ascii="仿宋_GB2312" w:hAnsi="宋体" w:eastAsia="仿宋_GB2312"/>
          <w:b/>
          <w:bCs/>
          <w:color w:val="000000"/>
          <w:sz w:val="24"/>
          <w:lang w:eastAsia="zh-CN"/>
        </w:rPr>
        <w:t>，</w:t>
      </w:r>
      <w:r>
        <w:rPr>
          <w:rFonts w:hint="eastAsia" w:ascii="仿宋_GB2312" w:hAnsi="宋体" w:eastAsia="仿宋_GB2312"/>
          <w:b/>
          <w:bCs/>
          <w:color w:val="000000"/>
          <w:sz w:val="24"/>
          <w:lang w:val="en-US" w:eastAsia="zh-CN"/>
        </w:rPr>
        <w:t>不提供不得分</w:t>
      </w:r>
      <w:r>
        <w:rPr>
          <w:rFonts w:hint="eastAsia" w:ascii="仿宋_GB2312" w:hAnsi="宋体" w:eastAsia="仿宋_GB2312"/>
          <w:b/>
          <w:bCs/>
          <w:color w:val="000000"/>
          <w:sz w:val="24"/>
        </w:rPr>
        <w:t>。</w:t>
      </w:r>
    </w:p>
    <w:p>
      <w:pPr>
        <w:pStyle w:val="2"/>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snapToGrid w:val="0"/>
        <w:spacing w:line="440" w:lineRule="exact"/>
        <w:jc w:val="both"/>
        <w:rPr>
          <w:rFonts w:hint="eastAsia" w:ascii="宋体" w:hAnsi="宋体"/>
          <w:b/>
          <w:bCs/>
          <w:sz w:val="30"/>
          <w:szCs w:val="32"/>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spacing w:line="440" w:lineRule="exact"/>
        <w:jc w:val="center"/>
        <w:rPr>
          <w:rFonts w:hint="eastAsia" w:ascii="宋体" w:hAnsi="宋体"/>
          <w:b/>
          <w:sz w:val="28"/>
          <w:szCs w:val="28"/>
        </w:rPr>
      </w:pPr>
      <w:r>
        <w:rPr>
          <w:rFonts w:hint="eastAsia" w:ascii="宋体" w:hAnsi="宋体"/>
          <w:b/>
          <w:sz w:val="28"/>
          <w:szCs w:val="28"/>
        </w:rPr>
        <w:t>服务评</w:t>
      </w:r>
      <w:r>
        <w:rPr>
          <w:rFonts w:hint="eastAsia" w:ascii="宋体" w:hAnsi="宋体"/>
          <w:b/>
          <w:sz w:val="28"/>
          <w:szCs w:val="28"/>
          <w:lang w:val="en-US" w:eastAsia="zh-CN"/>
        </w:rPr>
        <w:t>分</w:t>
      </w:r>
      <w:r>
        <w:rPr>
          <w:rFonts w:hint="eastAsia" w:ascii="宋体" w:hAnsi="宋体"/>
          <w:b/>
          <w:sz w:val="28"/>
          <w:szCs w:val="28"/>
        </w:rPr>
        <w:t>表</w:t>
      </w:r>
    </w:p>
    <w:tbl>
      <w:tblPr>
        <w:tblStyle w:val="18"/>
        <w:tblW w:w="9461" w:type="dxa"/>
        <w:jc w:val="center"/>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Layout w:type="fixed"/>
        <w:tblCellMar>
          <w:top w:w="0" w:type="dxa"/>
          <w:left w:w="57" w:type="dxa"/>
          <w:bottom w:w="0" w:type="dxa"/>
          <w:right w:w="57" w:type="dxa"/>
        </w:tblCellMar>
      </w:tblPr>
      <w:tblGrid>
        <w:gridCol w:w="622"/>
        <w:gridCol w:w="1820"/>
        <w:gridCol w:w="6308"/>
        <w:gridCol w:w="711"/>
      </w:tblGrid>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818" w:hRule="atLeast"/>
          <w:tblHeader/>
          <w:jc w:val="center"/>
        </w:trPr>
        <w:tc>
          <w:tcPr>
            <w:tcW w:w="622" w:type="dxa"/>
            <w:shd w:val="clear" w:color="auto" w:fill="D9D9D9"/>
            <w:noWrap w:val="0"/>
            <w:vAlign w:val="center"/>
          </w:tcPr>
          <w:p>
            <w:pPr>
              <w:pStyle w:val="35"/>
              <w:spacing w:before="46" w:beforeLines="15" w:after="46" w:afterLines="15"/>
              <w:jc w:val="center"/>
              <w:rPr>
                <w:rFonts w:ascii="宋体" w:hAnsi="宋体" w:cs="宋体"/>
                <w:b/>
                <w:sz w:val="24"/>
              </w:rPr>
            </w:pPr>
            <w:r>
              <w:rPr>
                <w:rFonts w:hint="eastAsia" w:ascii="宋体" w:hAnsi="宋体" w:cs="宋体"/>
                <w:b/>
                <w:sz w:val="24"/>
              </w:rPr>
              <w:t>序号</w:t>
            </w:r>
          </w:p>
        </w:tc>
        <w:tc>
          <w:tcPr>
            <w:tcW w:w="1820" w:type="dxa"/>
            <w:shd w:val="clear" w:color="auto" w:fill="D9D9D9"/>
            <w:noWrap w:val="0"/>
            <w:vAlign w:val="center"/>
          </w:tcPr>
          <w:p>
            <w:pPr>
              <w:pStyle w:val="35"/>
              <w:spacing w:before="46" w:beforeLines="15" w:after="46" w:afterLines="15"/>
              <w:jc w:val="center"/>
              <w:rPr>
                <w:rFonts w:ascii="宋体" w:hAnsi="宋体" w:cs="宋体"/>
                <w:b/>
                <w:sz w:val="24"/>
              </w:rPr>
            </w:pPr>
            <w:r>
              <w:rPr>
                <w:rFonts w:hint="eastAsia" w:ascii="宋体" w:hAnsi="宋体" w:cs="宋体"/>
                <w:b/>
                <w:sz w:val="24"/>
              </w:rPr>
              <w:t>评审内容</w:t>
            </w:r>
          </w:p>
        </w:tc>
        <w:tc>
          <w:tcPr>
            <w:tcW w:w="6308" w:type="dxa"/>
            <w:shd w:val="clear" w:color="auto" w:fill="D9D9D9"/>
            <w:noWrap w:val="0"/>
            <w:vAlign w:val="center"/>
          </w:tcPr>
          <w:p>
            <w:pPr>
              <w:pStyle w:val="35"/>
              <w:spacing w:before="46" w:beforeLines="15" w:after="46" w:afterLines="15"/>
              <w:jc w:val="center"/>
              <w:rPr>
                <w:rFonts w:ascii="宋体" w:hAnsi="宋体" w:cs="宋体"/>
                <w:b/>
                <w:sz w:val="24"/>
              </w:rPr>
            </w:pPr>
            <w:r>
              <w:rPr>
                <w:rFonts w:hint="eastAsia" w:ascii="宋体" w:hAnsi="宋体" w:cs="宋体"/>
                <w:b/>
                <w:sz w:val="24"/>
              </w:rPr>
              <w:t>评审标准</w:t>
            </w:r>
          </w:p>
        </w:tc>
        <w:tc>
          <w:tcPr>
            <w:tcW w:w="711" w:type="dxa"/>
            <w:shd w:val="clear" w:color="auto" w:fill="D9D9D9"/>
            <w:noWrap w:val="0"/>
            <w:vAlign w:val="center"/>
          </w:tcPr>
          <w:p>
            <w:pPr>
              <w:pStyle w:val="35"/>
              <w:spacing w:before="46" w:beforeLines="15" w:after="46" w:afterLines="15"/>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622" w:type="dxa"/>
            <w:noWrap w:val="0"/>
            <w:vAlign w:val="center"/>
          </w:tcPr>
          <w:p>
            <w:pPr>
              <w:pStyle w:val="35"/>
              <w:spacing w:before="46" w:beforeLines="15" w:after="46" w:afterLines="15"/>
              <w:jc w:val="center"/>
              <w:rPr>
                <w:rFonts w:hint="eastAsia" w:ascii="宋体" w:hAnsi="宋体" w:cs="宋体"/>
                <w:sz w:val="24"/>
              </w:rPr>
            </w:pPr>
            <w:r>
              <w:rPr>
                <w:rFonts w:hint="eastAsia" w:ascii="宋体" w:hAnsi="宋体" w:cs="宋体"/>
                <w:sz w:val="24"/>
              </w:rPr>
              <w:t>1</w:t>
            </w:r>
          </w:p>
        </w:tc>
        <w:tc>
          <w:tcPr>
            <w:tcW w:w="1820" w:type="dxa"/>
            <w:noWrap w:val="0"/>
            <w:vAlign w:val="center"/>
          </w:tcPr>
          <w:p>
            <w:pPr>
              <w:spacing w:before="46" w:beforeLines="15" w:after="46" w:afterLines="15"/>
              <w:jc w:val="center"/>
              <w:rPr>
                <w:rFonts w:hint="eastAsia" w:ascii="宋体" w:hAnsi="宋体"/>
                <w:sz w:val="24"/>
                <w:szCs w:val="24"/>
              </w:rPr>
            </w:pPr>
            <w:r>
              <w:rPr>
                <w:rFonts w:hint="eastAsia" w:ascii="宋体" w:hAnsi="宋体"/>
                <w:sz w:val="24"/>
                <w:szCs w:val="24"/>
              </w:rPr>
              <w:t>服务响应情况</w:t>
            </w:r>
          </w:p>
        </w:tc>
        <w:tc>
          <w:tcPr>
            <w:tcW w:w="6308" w:type="dxa"/>
            <w:noWrap w:val="0"/>
            <w:vAlign w:val="center"/>
          </w:tcPr>
          <w:p>
            <w:pPr>
              <w:pStyle w:val="34"/>
              <w:spacing w:before="46" w:beforeLines="15" w:after="46" w:afterLines="15"/>
              <w:rPr>
                <w:rFonts w:hint="eastAsia" w:ascii="宋体" w:hAnsi="宋体"/>
                <w:sz w:val="24"/>
              </w:rPr>
            </w:pPr>
            <w:r>
              <w:rPr>
                <w:rFonts w:hint="eastAsia" w:ascii="宋体" w:hAnsi="宋体"/>
                <w:sz w:val="24"/>
              </w:rPr>
              <w:t>根据投标人提供的服务条款响应表进行评审:</w:t>
            </w:r>
          </w:p>
          <w:p>
            <w:pPr>
              <w:pStyle w:val="34"/>
              <w:spacing w:before="46" w:beforeLines="15" w:after="46" w:afterLines="15"/>
              <w:rPr>
                <w:rFonts w:hint="eastAsia" w:ascii="宋体" w:hAnsi="宋体"/>
                <w:sz w:val="24"/>
              </w:rPr>
            </w:pPr>
            <w:r>
              <w:rPr>
                <w:rFonts w:hint="eastAsia" w:ascii="宋体" w:hAnsi="宋体"/>
                <w:sz w:val="24"/>
              </w:rPr>
              <w:t>完全满足或优于用户需求的服务要求得满分，每有一项不满足（不响应）扣1分，最低扣至0分为止。</w:t>
            </w:r>
          </w:p>
        </w:tc>
        <w:tc>
          <w:tcPr>
            <w:tcW w:w="711" w:type="dxa"/>
            <w:noWrap w:val="0"/>
            <w:vAlign w:val="center"/>
          </w:tcPr>
          <w:p>
            <w:pPr>
              <w:spacing w:before="46" w:beforeLines="15" w:after="46" w:afterLines="15"/>
              <w:jc w:val="center"/>
              <w:rPr>
                <w:rFonts w:hint="eastAsia" w:ascii="宋体" w:hAnsi="宋体"/>
                <w:bCs/>
                <w:sz w:val="24"/>
                <w:szCs w:val="24"/>
              </w:rPr>
            </w:pPr>
            <w:r>
              <w:rPr>
                <w:rFonts w:hint="eastAsia" w:ascii="宋体" w:hAnsi="宋体"/>
                <w:bCs/>
                <w:sz w:val="24"/>
                <w:szCs w:val="24"/>
              </w:rPr>
              <w:t>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622" w:type="dxa"/>
            <w:noWrap w:val="0"/>
            <w:vAlign w:val="center"/>
          </w:tcPr>
          <w:p>
            <w:pPr>
              <w:pStyle w:val="35"/>
              <w:spacing w:before="46" w:beforeLines="15" w:after="46" w:afterLines="15"/>
              <w:jc w:val="center"/>
              <w:rPr>
                <w:rFonts w:ascii="宋体" w:hAnsi="宋体" w:cs="宋体"/>
                <w:sz w:val="24"/>
              </w:rPr>
            </w:pPr>
            <w:r>
              <w:rPr>
                <w:rFonts w:hint="eastAsia" w:ascii="宋体" w:hAnsi="宋体" w:cs="宋体"/>
                <w:sz w:val="24"/>
              </w:rPr>
              <w:t>2</w:t>
            </w:r>
          </w:p>
        </w:tc>
        <w:tc>
          <w:tcPr>
            <w:tcW w:w="1820" w:type="dxa"/>
            <w:noWrap w:val="0"/>
            <w:vAlign w:val="center"/>
          </w:tcPr>
          <w:p>
            <w:pPr>
              <w:spacing w:before="46" w:beforeLines="15" w:after="46" w:afterLines="15"/>
              <w:jc w:val="center"/>
              <w:rPr>
                <w:rFonts w:ascii="宋体" w:hAnsi="宋体"/>
                <w:bCs/>
                <w:sz w:val="24"/>
                <w:szCs w:val="24"/>
              </w:rPr>
            </w:pPr>
            <w:r>
              <w:rPr>
                <w:rFonts w:hint="eastAsia" w:ascii="宋体" w:hAnsi="宋体"/>
                <w:sz w:val="24"/>
                <w:szCs w:val="24"/>
              </w:rPr>
              <w:t>日常运维方案</w:t>
            </w:r>
          </w:p>
        </w:tc>
        <w:tc>
          <w:tcPr>
            <w:tcW w:w="6308" w:type="dxa"/>
            <w:noWrap w:val="0"/>
            <w:vAlign w:val="center"/>
          </w:tcPr>
          <w:p>
            <w:pPr>
              <w:pStyle w:val="34"/>
              <w:spacing w:before="46" w:beforeLines="15" w:after="46" w:afterLines="15"/>
              <w:rPr>
                <w:rFonts w:ascii="宋体" w:hAnsi="宋体"/>
                <w:sz w:val="24"/>
              </w:rPr>
            </w:pPr>
            <w:r>
              <w:rPr>
                <w:rFonts w:hint="eastAsia" w:ascii="宋体" w:hAnsi="宋体"/>
                <w:sz w:val="24"/>
              </w:rPr>
              <w:t>包括承租期间的对本项目招标人的反馈机制、计划，日常问题发现的整改措施，应急情况设想是否周全，投诉机制是否完善。</w:t>
            </w:r>
          </w:p>
          <w:p>
            <w:pPr>
              <w:rPr>
                <w:rFonts w:hint="eastAsia" w:ascii="宋体" w:hAnsi="宋体"/>
                <w:sz w:val="24"/>
                <w:szCs w:val="24"/>
              </w:rPr>
            </w:pPr>
            <w:r>
              <w:rPr>
                <w:rFonts w:hint="eastAsia" w:ascii="宋体" w:hAnsi="宋体"/>
                <w:sz w:val="24"/>
                <w:szCs w:val="24"/>
              </w:rPr>
              <w:t>（1）</w:t>
            </w:r>
            <w:r>
              <w:rPr>
                <w:rFonts w:hint="eastAsia" w:ascii="宋体" w:hAnsi="宋体"/>
                <w:sz w:val="24"/>
              </w:rPr>
              <w:t>反馈机制、计划，日常问题发现的整改措施，应急情况设想周全，投诉机制完善</w:t>
            </w:r>
            <w:r>
              <w:rPr>
                <w:rFonts w:hint="eastAsia" w:ascii="宋体" w:hAnsi="宋体"/>
                <w:sz w:val="24"/>
                <w:szCs w:val="24"/>
              </w:rPr>
              <w:t>，得9分；</w:t>
            </w:r>
          </w:p>
          <w:p>
            <w:pPr>
              <w:rPr>
                <w:rFonts w:hint="eastAsia" w:ascii="宋体" w:hAnsi="宋体"/>
                <w:sz w:val="24"/>
                <w:szCs w:val="24"/>
              </w:rPr>
            </w:pPr>
            <w:r>
              <w:rPr>
                <w:rFonts w:hint="eastAsia" w:ascii="宋体" w:hAnsi="宋体"/>
                <w:sz w:val="24"/>
                <w:szCs w:val="24"/>
              </w:rPr>
              <w:t>（2）</w:t>
            </w:r>
            <w:r>
              <w:rPr>
                <w:rFonts w:hint="eastAsia" w:ascii="宋体" w:hAnsi="宋体"/>
                <w:sz w:val="24"/>
              </w:rPr>
              <w:t>反馈机制、计划，日常问题发现的整改措施，应急情况设想比较周全，投诉机制比较完善</w:t>
            </w:r>
            <w:r>
              <w:rPr>
                <w:rFonts w:hint="eastAsia" w:ascii="宋体" w:hAnsi="宋体"/>
                <w:sz w:val="24"/>
                <w:szCs w:val="24"/>
              </w:rPr>
              <w:t>，得5分；</w:t>
            </w:r>
          </w:p>
          <w:p>
            <w:pPr>
              <w:rPr>
                <w:rFonts w:hint="eastAsia" w:ascii="宋体" w:hAnsi="宋体"/>
                <w:sz w:val="24"/>
                <w:szCs w:val="24"/>
              </w:rPr>
            </w:pPr>
            <w:r>
              <w:rPr>
                <w:rFonts w:hint="eastAsia" w:ascii="宋体" w:hAnsi="宋体"/>
                <w:sz w:val="24"/>
                <w:szCs w:val="24"/>
              </w:rPr>
              <w:t>（3）</w:t>
            </w:r>
            <w:r>
              <w:rPr>
                <w:rFonts w:hint="eastAsia" w:ascii="宋体" w:hAnsi="宋体"/>
                <w:sz w:val="24"/>
              </w:rPr>
              <w:t>反馈机制、计划，日常问题发现的整改措施，应急情况设想基本周全，投诉机制基本完善</w:t>
            </w:r>
            <w:r>
              <w:rPr>
                <w:rFonts w:hint="eastAsia" w:ascii="宋体" w:hAnsi="宋体"/>
                <w:sz w:val="24"/>
                <w:szCs w:val="24"/>
              </w:rPr>
              <w:t>，得1分；</w:t>
            </w:r>
          </w:p>
          <w:p>
            <w:pPr>
              <w:rPr>
                <w:rFonts w:ascii="宋体" w:hAnsi="宋体"/>
                <w:bCs/>
                <w:sz w:val="24"/>
                <w:szCs w:val="24"/>
              </w:rPr>
            </w:pPr>
            <w:r>
              <w:rPr>
                <w:rFonts w:hint="eastAsia" w:ascii="宋体" w:hAnsi="宋体"/>
                <w:sz w:val="24"/>
                <w:szCs w:val="24"/>
              </w:rPr>
              <w:t>（4）</w:t>
            </w:r>
            <w:r>
              <w:rPr>
                <w:rFonts w:hint="eastAsia" w:ascii="宋体" w:hAnsi="宋体"/>
                <w:sz w:val="24"/>
              </w:rPr>
              <w:t>反馈机制、计划，日常问题发现的整改措施，应急情况设想存在问题，投诉机制不完善</w:t>
            </w:r>
            <w:r>
              <w:rPr>
                <w:rFonts w:hint="eastAsia" w:ascii="宋体" w:hAnsi="宋体"/>
                <w:sz w:val="24"/>
                <w:szCs w:val="24"/>
              </w:rPr>
              <w:t>，得0分。</w:t>
            </w:r>
          </w:p>
        </w:tc>
        <w:tc>
          <w:tcPr>
            <w:tcW w:w="711" w:type="dxa"/>
            <w:noWrap w:val="0"/>
            <w:vAlign w:val="center"/>
          </w:tcPr>
          <w:p>
            <w:pPr>
              <w:spacing w:before="46" w:beforeLines="15" w:after="46" w:afterLines="15"/>
              <w:jc w:val="center"/>
              <w:rPr>
                <w:rFonts w:ascii="宋体" w:hAnsi="宋体"/>
                <w:bCs/>
                <w:sz w:val="24"/>
                <w:szCs w:val="24"/>
              </w:rPr>
            </w:pPr>
            <w:r>
              <w:rPr>
                <w:rFonts w:hint="eastAsia" w:ascii="宋体" w:hAnsi="宋体"/>
                <w:bCs/>
                <w:sz w:val="24"/>
                <w:szCs w:val="24"/>
              </w:rPr>
              <w:t>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622" w:type="dxa"/>
            <w:noWrap w:val="0"/>
            <w:vAlign w:val="center"/>
          </w:tcPr>
          <w:p>
            <w:pPr>
              <w:pStyle w:val="35"/>
              <w:spacing w:before="46" w:beforeLines="15" w:after="46" w:afterLines="15"/>
              <w:jc w:val="center"/>
              <w:rPr>
                <w:rFonts w:ascii="宋体" w:hAnsi="宋体" w:cs="宋体"/>
                <w:sz w:val="24"/>
              </w:rPr>
            </w:pPr>
            <w:r>
              <w:rPr>
                <w:rFonts w:hint="eastAsia" w:ascii="宋体" w:hAnsi="宋体" w:cs="宋体"/>
                <w:sz w:val="24"/>
              </w:rPr>
              <w:t>3</w:t>
            </w:r>
          </w:p>
        </w:tc>
        <w:tc>
          <w:tcPr>
            <w:tcW w:w="1820" w:type="dxa"/>
            <w:noWrap w:val="0"/>
            <w:vAlign w:val="center"/>
          </w:tcPr>
          <w:p>
            <w:pPr>
              <w:spacing w:before="46" w:beforeLines="15" w:after="46" w:afterLines="15"/>
              <w:jc w:val="center"/>
              <w:rPr>
                <w:rFonts w:ascii="宋体" w:hAnsi="宋体"/>
                <w:sz w:val="24"/>
                <w:szCs w:val="24"/>
              </w:rPr>
            </w:pPr>
            <w:r>
              <w:rPr>
                <w:rFonts w:hint="eastAsia" w:ascii="Arial" w:hAnsi="Arial" w:cs="Arial"/>
                <w:sz w:val="24"/>
                <w:szCs w:val="24"/>
              </w:rPr>
              <w:t>安全管理</w:t>
            </w:r>
          </w:p>
        </w:tc>
        <w:tc>
          <w:tcPr>
            <w:tcW w:w="6308" w:type="dxa"/>
            <w:noWrap w:val="0"/>
            <w:vAlign w:val="center"/>
          </w:tcPr>
          <w:p>
            <w:pPr>
              <w:rPr>
                <w:rFonts w:hint="eastAsia" w:ascii="宋体" w:hAnsi="宋体"/>
                <w:sz w:val="24"/>
              </w:rPr>
            </w:pPr>
            <w:r>
              <w:rPr>
                <w:rFonts w:hint="eastAsia" w:ascii="宋体" w:hAnsi="宋体"/>
                <w:sz w:val="24"/>
              </w:rPr>
              <w:t>包括安全隐患防范工作、</w:t>
            </w:r>
            <w:r>
              <w:rPr>
                <w:rFonts w:hint="eastAsia" w:ascii="宋体" w:hAnsi="宋体"/>
                <w:sz w:val="24"/>
                <w:lang w:val="en-US" w:eastAsia="zh-CN"/>
              </w:rPr>
              <w:t>食品、</w:t>
            </w:r>
            <w:r>
              <w:rPr>
                <w:rFonts w:hint="eastAsia" w:ascii="宋体" w:hAnsi="宋体"/>
                <w:sz w:val="24"/>
              </w:rPr>
              <w:t>消防维护、防盗、预防犯罪等其他安全管理是否到位。</w:t>
            </w:r>
          </w:p>
          <w:p>
            <w:pPr>
              <w:rPr>
                <w:rFonts w:hint="eastAsia" w:ascii="宋体" w:hAnsi="宋体"/>
                <w:sz w:val="24"/>
              </w:rPr>
            </w:pPr>
            <w:r>
              <w:rPr>
                <w:rFonts w:hint="eastAsia" w:ascii="宋体" w:hAnsi="宋体"/>
                <w:sz w:val="24"/>
              </w:rPr>
              <w:t>（1）安全隐患防范工作、</w:t>
            </w:r>
            <w:r>
              <w:rPr>
                <w:rFonts w:hint="eastAsia" w:ascii="宋体" w:hAnsi="宋体"/>
                <w:sz w:val="24"/>
                <w:lang w:val="en-US" w:eastAsia="zh-CN"/>
              </w:rPr>
              <w:t>食品、</w:t>
            </w:r>
            <w:r>
              <w:rPr>
                <w:rFonts w:hint="eastAsia" w:ascii="宋体" w:hAnsi="宋体"/>
                <w:sz w:val="24"/>
              </w:rPr>
              <w:t>消防维护、防盗、预防犯罪等其他安全管理完全到位，得9分；</w:t>
            </w:r>
          </w:p>
          <w:p>
            <w:pPr>
              <w:rPr>
                <w:rFonts w:hint="eastAsia" w:ascii="宋体" w:hAnsi="宋体"/>
                <w:sz w:val="24"/>
              </w:rPr>
            </w:pPr>
            <w:r>
              <w:rPr>
                <w:rFonts w:hint="eastAsia" w:ascii="宋体" w:hAnsi="宋体"/>
                <w:sz w:val="24"/>
              </w:rPr>
              <w:t>（2）安全隐患防范工作、</w:t>
            </w:r>
            <w:r>
              <w:rPr>
                <w:rFonts w:hint="eastAsia" w:ascii="宋体" w:hAnsi="宋体"/>
                <w:sz w:val="24"/>
                <w:lang w:val="en-US" w:eastAsia="zh-CN"/>
              </w:rPr>
              <w:t>食品、</w:t>
            </w:r>
            <w:r>
              <w:rPr>
                <w:rFonts w:hint="eastAsia" w:ascii="宋体" w:hAnsi="宋体"/>
                <w:sz w:val="24"/>
              </w:rPr>
              <w:t>消防维护、防盗、预防犯罪等其他安全管理比较到位，得5分；</w:t>
            </w:r>
          </w:p>
          <w:p>
            <w:pPr>
              <w:rPr>
                <w:rFonts w:hint="eastAsia" w:ascii="宋体" w:hAnsi="宋体"/>
                <w:sz w:val="24"/>
              </w:rPr>
            </w:pPr>
            <w:r>
              <w:rPr>
                <w:rFonts w:hint="eastAsia" w:ascii="宋体" w:hAnsi="宋体"/>
                <w:sz w:val="24"/>
              </w:rPr>
              <w:t>（3）安全隐患防范工作、</w:t>
            </w:r>
            <w:r>
              <w:rPr>
                <w:rFonts w:hint="eastAsia" w:ascii="宋体" w:hAnsi="宋体"/>
                <w:sz w:val="24"/>
                <w:lang w:val="en-US" w:eastAsia="zh-CN"/>
              </w:rPr>
              <w:t>食品、</w:t>
            </w:r>
            <w:r>
              <w:rPr>
                <w:rFonts w:hint="eastAsia" w:ascii="宋体" w:hAnsi="宋体"/>
                <w:sz w:val="24"/>
              </w:rPr>
              <w:t>消防维护、防盗、预防犯罪等其他安全管理基本到位，得1分；</w:t>
            </w:r>
          </w:p>
          <w:p>
            <w:pPr>
              <w:pStyle w:val="2"/>
              <w:ind w:firstLine="0" w:firstLineChars="0"/>
            </w:pPr>
            <w:r>
              <w:rPr>
                <w:rFonts w:hint="eastAsia" w:ascii="宋体" w:hAnsi="宋体"/>
                <w:sz w:val="24"/>
                <w:szCs w:val="24"/>
              </w:rPr>
              <w:t>（4）安全隐患防范工作、</w:t>
            </w:r>
            <w:r>
              <w:rPr>
                <w:rFonts w:hint="eastAsia" w:ascii="宋体" w:hAnsi="宋体"/>
                <w:sz w:val="24"/>
                <w:szCs w:val="24"/>
                <w:lang w:val="en-US" w:eastAsia="zh-CN"/>
              </w:rPr>
              <w:t>食品、</w:t>
            </w:r>
            <w:r>
              <w:rPr>
                <w:rFonts w:hint="eastAsia" w:ascii="宋体" w:hAnsi="宋体"/>
                <w:sz w:val="24"/>
                <w:szCs w:val="24"/>
              </w:rPr>
              <w:t>消防维护、防盗、预防犯罪等其他安全管理存在问题，得0分；</w:t>
            </w:r>
          </w:p>
        </w:tc>
        <w:tc>
          <w:tcPr>
            <w:tcW w:w="711" w:type="dxa"/>
            <w:noWrap w:val="0"/>
            <w:vAlign w:val="center"/>
          </w:tcPr>
          <w:p>
            <w:pPr>
              <w:pStyle w:val="35"/>
              <w:spacing w:before="46" w:beforeLines="15" w:after="46" w:afterLines="15"/>
              <w:jc w:val="center"/>
              <w:rPr>
                <w:rFonts w:ascii="宋体" w:hAnsi="宋体"/>
                <w:sz w:val="24"/>
              </w:rPr>
            </w:pPr>
            <w:r>
              <w:rPr>
                <w:rFonts w:hint="eastAsia" w:ascii="宋体" w:hAnsi="宋体"/>
                <w:sz w:val="24"/>
              </w:rPr>
              <w:t>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622" w:type="dxa"/>
            <w:noWrap w:val="0"/>
            <w:vAlign w:val="center"/>
          </w:tcPr>
          <w:p>
            <w:pPr>
              <w:pStyle w:val="35"/>
              <w:spacing w:before="46" w:beforeLines="15" w:after="46" w:afterLines="15"/>
              <w:jc w:val="center"/>
              <w:rPr>
                <w:rFonts w:ascii="宋体" w:hAnsi="宋体" w:cs="宋体"/>
                <w:sz w:val="24"/>
              </w:rPr>
            </w:pPr>
            <w:r>
              <w:rPr>
                <w:rFonts w:hint="eastAsia" w:ascii="宋体" w:hAnsi="宋体" w:cs="宋体"/>
                <w:sz w:val="24"/>
              </w:rPr>
              <w:t>4</w:t>
            </w:r>
          </w:p>
        </w:tc>
        <w:tc>
          <w:tcPr>
            <w:tcW w:w="1820" w:type="dxa"/>
            <w:noWrap w:val="0"/>
            <w:vAlign w:val="center"/>
          </w:tcPr>
          <w:p>
            <w:pPr>
              <w:spacing w:before="46" w:beforeLines="15" w:after="46" w:afterLines="15"/>
              <w:jc w:val="center"/>
              <w:rPr>
                <w:rFonts w:ascii="宋体" w:hAnsi="宋体" w:cs="宋体"/>
                <w:sz w:val="24"/>
                <w:szCs w:val="24"/>
              </w:rPr>
            </w:pPr>
            <w:r>
              <w:rPr>
                <w:rFonts w:hint="eastAsia" w:ascii="Arial" w:hAnsi="Arial" w:cs="Arial"/>
                <w:sz w:val="24"/>
                <w:szCs w:val="24"/>
              </w:rPr>
              <w:t>内部管理流程及制度</w:t>
            </w:r>
          </w:p>
        </w:tc>
        <w:tc>
          <w:tcPr>
            <w:tcW w:w="6308" w:type="dxa"/>
            <w:noWrap w:val="0"/>
            <w:vAlign w:val="center"/>
          </w:tcPr>
          <w:p>
            <w:pPr>
              <w:rPr>
                <w:rFonts w:hint="eastAsia" w:ascii="宋体" w:hAnsi="宋体"/>
                <w:sz w:val="24"/>
              </w:rPr>
            </w:pPr>
            <w:r>
              <w:rPr>
                <w:rFonts w:hint="eastAsia" w:ascii="宋体" w:hAnsi="宋体"/>
                <w:sz w:val="24"/>
              </w:rPr>
              <w:t>包括承租后对承租标的日常管理、有效监控的渠道、手段以及流程的具体方案，方案详细、可行。</w:t>
            </w:r>
          </w:p>
          <w:p>
            <w:pPr>
              <w:rPr>
                <w:rFonts w:hint="eastAsia" w:ascii="宋体" w:hAnsi="宋体"/>
                <w:sz w:val="24"/>
              </w:rPr>
            </w:pPr>
            <w:r>
              <w:rPr>
                <w:rFonts w:hint="eastAsia" w:ascii="宋体" w:hAnsi="宋体"/>
                <w:sz w:val="24"/>
              </w:rPr>
              <w:t>（1）日常管理、有效监控的渠道、手段以及流程的具体方案，方案完整详细、可行，得9分；</w:t>
            </w:r>
          </w:p>
          <w:p>
            <w:pPr>
              <w:rPr>
                <w:rFonts w:hint="eastAsia" w:ascii="宋体" w:hAnsi="宋体"/>
                <w:sz w:val="24"/>
              </w:rPr>
            </w:pPr>
            <w:r>
              <w:rPr>
                <w:rFonts w:hint="eastAsia" w:ascii="宋体" w:hAnsi="宋体"/>
                <w:sz w:val="24"/>
              </w:rPr>
              <w:t>（2）日常管理、有效监控的渠道、手段以及流程的具体方案，方案较为完整，得5分；</w:t>
            </w:r>
          </w:p>
          <w:p>
            <w:pPr>
              <w:rPr>
                <w:rFonts w:hint="eastAsia" w:ascii="宋体" w:hAnsi="宋体"/>
                <w:sz w:val="24"/>
              </w:rPr>
            </w:pPr>
            <w:r>
              <w:rPr>
                <w:rFonts w:hint="eastAsia" w:ascii="宋体" w:hAnsi="宋体"/>
                <w:sz w:val="24"/>
              </w:rPr>
              <w:t>（3）日常管理、有效监控的渠道、手段以及流程的具体方案，方案基本完整，得1分；</w:t>
            </w:r>
          </w:p>
          <w:p>
            <w:pPr>
              <w:rPr>
                <w:rFonts w:ascii="宋体" w:hAnsi="宋体" w:cs="宋体"/>
                <w:sz w:val="24"/>
                <w:szCs w:val="24"/>
              </w:rPr>
            </w:pPr>
            <w:r>
              <w:rPr>
                <w:rFonts w:hint="eastAsia" w:ascii="宋体" w:hAnsi="宋体"/>
                <w:sz w:val="24"/>
              </w:rPr>
              <w:t>（4）日常管理、有效监控的渠道、手段以及流程的具体方案，方案存在问题，得0分；</w:t>
            </w:r>
          </w:p>
        </w:tc>
        <w:tc>
          <w:tcPr>
            <w:tcW w:w="711" w:type="dxa"/>
            <w:noWrap w:val="0"/>
            <w:vAlign w:val="center"/>
          </w:tcPr>
          <w:p>
            <w:pPr>
              <w:pStyle w:val="35"/>
              <w:spacing w:before="46" w:beforeLines="15" w:after="46" w:afterLines="15"/>
              <w:jc w:val="center"/>
              <w:rPr>
                <w:rFonts w:ascii="宋体" w:hAnsi="宋体"/>
                <w:sz w:val="24"/>
              </w:rPr>
            </w:pPr>
            <w:r>
              <w:rPr>
                <w:rFonts w:hint="eastAsia" w:ascii="宋体" w:hAnsi="宋体"/>
                <w:sz w:val="24"/>
              </w:rPr>
              <w:t>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622" w:type="dxa"/>
            <w:noWrap w:val="0"/>
            <w:vAlign w:val="center"/>
          </w:tcPr>
          <w:p>
            <w:pPr>
              <w:pStyle w:val="35"/>
              <w:spacing w:before="46" w:beforeLines="15" w:after="46" w:afterLines="15"/>
              <w:jc w:val="center"/>
              <w:rPr>
                <w:rFonts w:ascii="宋体" w:hAnsi="宋体" w:cs="宋体"/>
                <w:sz w:val="24"/>
              </w:rPr>
            </w:pPr>
            <w:r>
              <w:rPr>
                <w:rFonts w:hint="eastAsia" w:ascii="宋体" w:hAnsi="宋体" w:cs="宋体"/>
                <w:sz w:val="24"/>
              </w:rPr>
              <w:t>5</w:t>
            </w:r>
          </w:p>
        </w:tc>
        <w:tc>
          <w:tcPr>
            <w:tcW w:w="1820" w:type="dxa"/>
            <w:noWrap w:val="0"/>
            <w:vAlign w:val="center"/>
          </w:tcPr>
          <w:p>
            <w:pPr>
              <w:spacing w:before="46" w:beforeLines="15" w:after="46" w:afterLines="15"/>
              <w:jc w:val="center"/>
              <w:rPr>
                <w:rFonts w:ascii="宋体" w:hAnsi="宋体" w:cs="宋体"/>
                <w:sz w:val="24"/>
                <w:szCs w:val="24"/>
              </w:rPr>
            </w:pPr>
            <w:r>
              <w:rPr>
                <w:rFonts w:hint="eastAsia" w:ascii="宋体" w:hAnsi="宋体" w:cs="宋体"/>
                <w:sz w:val="24"/>
                <w:szCs w:val="24"/>
              </w:rPr>
              <w:t>服务沟通机制</w:t>
            </w:r>
          </w:p>
        </w:tc>
        <w:tc>
          <w:tcPr>
            <w:tcW w:w="6308" w:type="dxa"/>
            <w:noWrap w:val="0"/>
            <w:vAlign w:val="center"/>
          </w:tcPr>
          <w:p>
            <w:pPr>
              <w:rPr>
                <w:rFonts w:hint="eastAsia" w:ascii="宋体" w:hAnsi="宋体"/>
                <w:sz w:val="24"/>
              </w:rPr>
            </w:pPr>
            <w:r>
              <w:rPr>
                <w:rFonts w:hint="eastAsia" w:ascii="宋体" w:hAnsi="宋体"/>
                <w:sz w:val="24"/>
              </w:rPr>
              <w:t>考察与出租方的沟通协调机制。要求有专人定期与出租方沟通、配合的服务磋商。</w:t>
            </w:r>
          </w:p>
          <w:p>
            <w:pPr>
              <w:rPr>
                <w:rFonts w:hint="eastAsia" w:ascii="宋体" w:hAnsi="宋体"/>
                <w:sz w:val="24"/>
              </w:rPr>
            </w:pPr>
            <w:r>
              <w:rPr>
                <w:rFonts w:hint="eastAsia" w:ascii="宋体" w:hAnsi="宋体"/>
                <w:sz w:val="24"/>
              </w:rPr>
              <w:t>（1）沟通协调机制完备，有专人定期与出租方沟通、配合的服务磋商，得9分；</w:t>
            </w:r>
          </w:p>
          <w:p>
            <w:pPr>
              <w:pStyle w:val="2"/>
              <w:ind w:firstLine="0" w:firstLineChars="0"/>
              <w:rPr>
                <w:rFonts w:hint="eastAsia" w:ascii="宋体" w:hAnsi="宋体"/>
                <w:sz w:val="24"/>
                <w:szCs w:val="24"/>
              </w:rPr>
            </w:pPr>
            <w:r>
              <w:rPr>
                <w:rFonts w:hint="eastAsia" w:ascii="宋体" w:hAnsi="宋体"/>
                <w:sz w:val="24"/>
                <w:szCs w:val="24"/>
              </w:rPr>
              <w:t>（2）</w:t>
            </w:r>
            <w:r>
              <w:rPr>
                <w:rFonts w:hint="eastAsia" w:ascii="宋体" w:hAnsi="宋体" w:cs="宋体"/>
                <w:sz w:val="24"/>
                <w:szCs w:val="24"/>
              </w:rPr>
              <w:t>沟通协调机制比较完备</w:t>
            </w:r>
            <w:r>
              <w:rPr>
                <w:rFonts w:hint="eastAsia" w:ascii="宋体" w:hAnsi="宋体"/>
                <w:sz w:val="24"/>
                <w:szCs w:val="24"/>
              </w:rPr>
              <w:t>，</w:t>
            </w:r>
            <w:r>
              <w:rPr>
                <w:rFonts w:hint="eastAsia" w:ascii="宋体" w:hAnsi="宋体" w:cs="宋体"/>
                <w:sz w:val="24"/>
                <w:szCs w:val="24"/>
              </w:rPr>
              <w:t>有专人定期与出租方沟通、配合的服务磋商</w:t>
            </w:r>
            <w:r>
              <w:rPr>
                <w:rFonts w:hint="eastAsia" w:ascii="宋体" w:hAnsi="宋体"/>
                <w:sz w:val="24"/>
                <w:szCs w:val="24"/>
              </w:rPr>
              <w:t>，得5分；</w:t>
            </w:r>
          </w:p>
          <w:p>
            <w:pPr>
              <w:pStyle w:val="2"/>
              <w:ind w:firstLine="0" w:firstLineChars="0"/>
              <w:rPr>
                <w:rFonts w:hint="eastAsia" w:ascii="宋体" w:hAnsi="宋体" w:eastAsia="宋体" w:cs="Times New Roman"/>
                <w:kern w:val="2"/>
                <w:sz w:val="24"/>
                <w:szCs w:val="24"/>
                <w:lang w:val="en-US" w:eastAsia="zh-CN" w:bidi="ar-SA"/>
              </w:rPr>
            </w:pPr>
            <w:r>
              <w:rPr>
                <w:rFonts w:hint="eastAsia" w:ascii="宋体" w:hAnsi="宋体"/>
                <w:sz w:val="24"/>
                <w:szCs w:val="24"/>
              </w:rPr>
              <w:t>（3）</w:t>
            </w:r>
            <w:r>
              <w:rPr>
                <w:rFonts w:hint="eastAsia" w:ascii="宋体" w:hAnsi="宋体" w:eastAsia="宋体" w:cs="Times New Roman"/>
                <w:kern w:val="2"/>
                <w:sz w:val="24"/>
                <w:szCs w:val="24"/>
                <w:lang w:val="en-US" w:eastAsia="zh-CN" w:bidi="ar-SA"/>
              </w:rPr>
              <w:t>沟通协调机制基本完备，有专人定期与出租方沟通、配合的服务磋商，得1分；</w:t>
            </w:r>
          </w:p>
          <w:p>
            <w:pPr>
              <w:shd w:val="clear" w:color="auto" w:fill="FFFFFF"/>
              <w:spacing w:before="62" w:beforeLines="20" w:after="62" w:afterLines="20"/>
              <w:rPr>
                <w:rFonts w:ascii="宋体" w:hAnsi="宋体" w:cs="宋体"/>
                <w:sz w:val="24"/>
                <w:szCs w:val="24"/>
              </w:rPr>
            </w:pPr>
            <w:r>
              <w:rPr>
                <w:rFonts w:hint="eastAsia"/>
                <w:lang w:val="en-US" w:eastAsia="zh-CN"/>
              </w:rPr>
              <w:t>（4）沟通协调机制不完备，或无专人定期与出租方沟通、配合的服务磋商，得0分；</w:t>
            </w:r>
          </w:p>
        </w:tc>
        <w:tc>
          <w:tcPr>
            <w:tcW w:w="711" w:type="dxa"/>
            <w:noWrap w:val="0"/>
            <w:vAlign w:val="center"/>
          </w:tcPr>
          <w:p>
            <w:pPr>
              <w:pStyle w:val="35"/>
              <w:spacing w:before="46" w:beforeLines="15" w:after="46" w:afterLines="15"/>
              <w:jc w:val="center"/>
              <w:rPr>
                <w:rFonts w:ascii="宋体" w:hAnsi="宋体"/>
                <w:sz w:val="24"/>
              </w:rPr>
            </w:pPr>
            <w:r>
              <w:rPr>
                <w:rFonts w:hint="eastAsia" w:ascii="宋体" w:hAnsi="宋体"/>
                <w:sz w:val="24"/>
              </w:rPr>
              <w:t>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818" w:hRule="atLeast"/>
          <w:jc w:val="center"/>
        </w:trPr>
        <w:tc>
          <w:tcPr>
            <w:tcW w:w="8750" w:type="dxa"/>
            <w:gridSpan w:val="3"/>
            <w:noWrap w:val="0"/>
            <w:vAlign w:val="center"/>
          </w:tcPr>
          <w:p>
            <w:pPr>
              <w:pStyle w:val="37"/>
              <w:spacing w:before="46" w:beforeLines="15" w:after="46" w:afterLines="15"/>
              <w:jc w:val="center"/>
              <w:rPr>
                <w:rFonts w:ascii="宋体" w:hAnsi="宋体" w:cs="宋体"/>
                <w:b/>
                <w:bCs/>
                <w:sz w:val="24"/>
              </w:rPr>
            </w:pPr>
            <w:r>
              <w:rPr>
                <w:rFonts w:hint="eastAsia" w:ascii="宋体" w:hAnsi="宋体" w:cs="宋体"/>
                <w:b/>
                <w:bCs/>
                <w:sz w:val="24"/>
              </w:rPr>
              <w:t>合计</w:t>
            </w:r>
          </w:p>
        </w:tc>
        <w:tc>
          <w:tcPr>
            <w:tcW w:w="711" w:type="dxa"/>
            <w:noWrap w:val="0"/>
            <w:vAlign w:val="center"/>
          </w:tcPr>
          <w:p>
            <w:pPr>
              <w:pStyle w:val="37"/>
              <w:spacing w:before="46" w:beforeLines="15" w:after="46" w:afterLines="15"/>
              <w:jc w:val="center"/>
              <w:rPr>
                <w:rFonts w:ascii="宋体" w:hAnsi="宋体" w:cs="宋体"/>
                <w:b/>
                <w:bCs/>
                <w:sz w:val="24"/>
              </w:rPr>
            </w:pPr>
            <w:r>
              <w:rPr>
                <w:rFonts w:hint="eastAsia" w:ascii="宋体" w:hAnsi="宋体" w:cs="宋体"/>
                <w:b/>
                <w:bCs/>
                <w:sz w:val="24"/>
              </w:rPr>
              <w:t>4</w:t>
            </w:r>
            <w:r>
              <w:rPr>
                <w:rFonts w:ascii="宋体" w:hAnsi="宋体" w:cs="宋体"/>
                <w:b/>
                <w:bCs/>
                <w:sz w:val="24"/>
              </w:rPr>
              <w:t>0</w:t>
            </w:r>
            <w:r>
              <w:rPr>
                <w:rFonts w:hint="eastAsia" w:ascii="宋体" w:hAnsi="宋体" w:cs="宋体"/>
                <w:b/>
                <w:bCs/>
                <w:sz w:val="24"/>
              </w:rPr>
              <w:t>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r>
        <w:rPr>
          <w:rFonts w:hint="eastAsia" w:ascii="仿宋_GB2312" w:hAnsi="宋体" w:eastAsia="仿宋_GB2312"/>
          <w:b/>
          <w:bCs/>
          <w:color w:val="000000"/>
          <w:sz w:val="24"/>
          <w:lang w:eastAsia="zh-CN"/>
        </w:rPr>
        <w:t>，</w:t>
      </w:r>
      <w:r>
        <w:rPr>
          <w:rFonts w:hint="eastAsia" w:ascii="仿宋_GB2312" w:hAnsi="宋体" w:eastAsia="仿宋_GB2312"/>
          <w:b/>
          <w:bCs/>
          <w:color w:val="000000"/>
          <w:sz w:val="24"/>
          <w:lang w:val="en-US" w:eastAsia="zh-CN"/>
        </w:rPr>
        <w:t>不提供则不得分</w:t>
      </w:r>
      <w:r>
        <w:rPr>
          <w:rFonts w:hint="eastAsia" w:ascii="仿宋_GB2312" w:hAnsi="宋体" w:eastAsia="仿宋_GB2312"/>
          <w:b/>
          <w:bCs/>
          <w:color w:val="000000"/>
          <w:sz w:val="24"/>
        </w:rPr>
        <w:t>。</w:t>
      </w:r>
    </w:p>
    <w:p>
      <w:pPr>
        <w:pStyle w:val="2"/>
        <w:ind w:left="0" w:leftChars="0" w:firstLine="0" w:firstLineChars="0"/>
        <w:rPr>
          <w:rFonts w:hint="eastAsia" w:ascii="宋体" w:hAnsi="宋体"/>
          <w:color w:val="000000"/>
          <w:sz w:val="28"/>
          <w:szCs w:val="23"/>
        </w:rPr>
      </w:pPr>
    </w:p>
    <w:p>
      <w:pPr>
        <w:pStyle w:val="4"/>
        <w:spacing w:before="0" w:after="0" w:line="400" w:lineRule="exact"/>
        <w:jc w:val="center"/>
        <w:rPr>
          <w:rFonts w:hint="eastAsia" w:ascii="仿宋" w:hAnsi="仿宋" w:eastAsia="仿宋" w:cs="仿宋"/>
          <w:sz w:val="32"/>
        </w:rPr>
      </w:pPr>
      <w:bookmarkStart w:id="31" w:name="_Toc3833"/>
    </w:p>
    <w:p>
      <w:pPr>
        <w:pStyle w:val="4"/>
        <w:numPr>
          <w:ilvl w:val="0"/>
          <w:numId w:val="3"/>
        </w:numPr>
        <w:spacing w:before="0" w:after="0" w:line="400" w:lineRule="exact"/>
        <w:jc w:val="center"/>
        <w:rPr>
          <w:rFonts w:hint="eastAsia" w:ascii="仿宋" w:hAnsi="仿宋" w:eastAsia="仿宋" w:cs="仿宋"/>
          <w:sz w:val="32"/>
        </w:rPr>
      </w:pPr>
      <w:r>
        <w:rPr>
          <w:rFonts w:hint="eastAsia" w:ascii="仿宋" w:hAnsi="仿宋" w:eastAsia="仿宋" w:cs="仿宋"/>
          <w:sz w:val="32"/>
        </w:rPr>
        <w:t xml:space="preserve"> 合同格式及主要条款</w:t>
      </w:r>
      <w:bookmarkEnd w:id="31"/>
    </w:p>
    <w:p>
      <w:pPr>
        <w:pStyle w:val="4"/>
        <w:numPr>
          <w:ilvl w:val="0"/>
          <w:numId w:val="0"/>
        </w:numPr>
        <w:spacing w:before="0" w:after="0" w:line="400" w:lineRule="exact"/>
        <w:jc w:val="both"/>
        <w:rPr>
          <w:rFonts w:hint="eastAsia" w:ascii="仿宋" w:hAnsi="仿宋" w:eastAsia="仿宋" w:cs="仿宋"/>
          <w:sz w:val="32"/>
        </w:rPr>
      </w:pPr>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4"/>
        </w:numPr>
        <w:rPr>
          <w:rFonts w:ascii="宋体" w:hAnsi="宋体"/>
          <w:color w:val="000000"/>
          <w:sz w:val="23"/>
          <w:szCs w:val="23"/>
        </w:rPr>
      </w:pPr>
      <w:r>
        <w:rPr>
          <w:rFonts w:hint="eastAsia" w:ascii="宋体" w:hAnsi="宋体"/>
          <w:bCs/>
          <w:color w:val="000000"/>
          <w:sz w:val="23"/>
          <w:szCs w:val="23"/>
        </w:rPr>
        <w:t>组成合同的文件</w:t>
      </w:r>
    </w:p>
    <w:p>
      <w:pPr>
        <w:numPr>
          <w:ilvl w:val="0"/>
          <w:numId w:val="5"/>
        </w:numPr>
        <w:rPr>
          <w:rFonts w:ascii="宋体" w:hAnsi="宋体"/>
          <w:color w:val="000000"/>
          <w:sz w:val="23"/>
          <w:szCs w:val="23"/>
        </w:rPr>
      </w:pPr>
      <w:r>
        <w:rPr>
          <w:rFonts w:hint="eastAsia" w:ascii="宋体" w:hAnsi="宋体"/>
          <w:color w:val="000000"/>
          <w:sz w:val="23"/>
          <w:szCs w:val="23"/>
        </w:rPr>
        <w:t>本合同协议书。</w:t>
      </w:r>
    </w:p>
    <w:p>
      <w:pPr>
        <w:numPr>
          <w:ilvl w:val="0"/>
          <w:numId w:val="5"/>
        </w:numPr>
        <w:rPr>
          <w:rFonts w:ascii="宋体" w:hAnsi="宋体"/>
          <w:color w:val="000000"/>
          <w:sz w:val="23"/>
          <w:szCs w:val="23"/>
        </w:rPr>
      </w:pPr>
      <w:r>
        <w:rPr>
          <w:rFonts w:hint="eastAsia" w:ascii="宋体" w:hAnsi="宋体"/>
          <w:color w:val="000000"/>
          <w:sz w:val="23"/>
          <w:szCs w:val="23"/>
        </w:rPr>
        <w:t>中标通知书。</w:t>
      </w:r>
    </w:p>
    <w:p>
      <w:pPr>
        <w:numPr>
          <w:ilvl w:val="0"/>
          <w:numId w:val="5"/>
        </w:numPr>
        <w:rPr>
          <w:rFonts w:ascii="宋体" w:hAnsi="宋体"/>
          <w:color w:val="000000"/>
          <w:sz w:val="23"/>
          <w:szCs w:val="23"/>
        </w:rPr>
      </w:pPr>
      <w:r>
        <w:rPr>
          <w:rFonts w:hint="eastAsia" w:ascii="宋体" w:hAnsi="宋体"/>
          <w:color w:val="000000"/>
          <w:sz w:val="23"/>
          <w:szCs w:val="23"/>
        </w:rPr>
        <w:t>投标函及其附件。</w:t>
      </w:r>
    </w:p>
    <w:p>
      <w:pPr>
        <w:numPr>
          <w:ilvl w:val="0"/>
          <w:numId w:val="5"/>
        </w:numPr>
        <w:rPr>
          <w:rFonts w:ascii="宋体" w:hAnsi="宋体"/>
          <w:color w:val="000000"/>
          <w:sz w:val="23"/>
          <w:szCs w:val="23"/>
        </w:rPr>
      </w:pPr>
      <w:r>
        <w:rPr>
          <w:rFonts w:hint="eastAsia" w:ascii="宋体" w:hAnsi="宋体"/>
          <w:color w:val="000000"/>
          <w:sz w:val="23"/>
          <w:szCs w:val="23"/>
        </w:rPr>
        <w:t>招标文件。</w:t>
      </w:r>
    </w:p>
    <w:p>
      <w:pPr>
        <w:numPr>
          <w:ilvl w:val="0"/>
          <w:numId w:val="5"/>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4"/>
        </w:numPr>
        <w:rPr>
          <w:rFonts w:ascii="宋体" w:hAnsi="宋体"/>
          <w:color w:val="000000"/>
          <w:sz w:val="23"/>
          <w:szCs w:val="23"/>
        </w:rPr>
      </w:pPr>
      <w:r>
        <w:rPr>
          <w:rFonts w:hint="eastAsia" w:ascii="宋体" w:hAnsi="宋体"/>
          <w:color w:val="000000"/>
          <w:sz w:val="23"/>
          <w:szCs w:val="23"/>
        </w:rPr>
        <w:t>合同标的</w:t>
      </w:r>
    </w:p>
    <w:p>
      <w:pPr>
        <w:numPr>
          <w:ilvl w:val="0"/>
          <w:numId w:val="6"/>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6"/>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6"/>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6"/>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6"/>
        </w:numPr>
        <w:rPr>
          <w:rFonts w:ascii="宋体" w:hAnsi="宋体"/>
          <w:color w:val="000000"/>
          <w:sz w:val="23"/>
          <w:szCs w:val="23"/>
        </w:rPr>
      </w:pPr>
      <w:r>
        <w:rPr>
          <w:rFonts w:hint="eastAsia" w:ascii="宋体" w:hAnsi="宋体"/>
          <w:color w:val="000000"/>
          <w:sz w:val="23"/>
          <w:szCs w:val="23"/>
        </w:rPr>
        <w:t>其它约定：。</w:t>
      </w:r>
    </w:p>
    <w:p>
      <w:pPr>
        <w:numPr>
          <w:ilvl w:val="0"/>
          <w:numId w:val="4"/>
        </w:numPr>
        <w:rPr>
          <w:rFonts w:ascii="宋体" w:hAnsi="宋体"/>
          <w:color w:val="000000"/>
          <w:sz w:val="23"/>
          <w:szCs w:val="23"/>
        </w:rPr>
      </w:pPr>
      <w:r>
        <w:rPr>
          <w:rFonts w:hint="eastAsia" w:ascii="宋体" w:hAnsi="宋体"/>
          <w:color w:val="000000"/>
          <w:sz w:val="23"/>
          <w:szCs w:val="23"/>
        </w:rPr>
        <w:t>结算方式</w:t>
      </w:r>
    </w:p>
    <w:p>
      <w:pPr>
        <w:numPr>
          <w:ilvl w:val="0"/>
          <w:numId w:val="7"/>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7"/>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7"/>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4"/>
        </w:numPr>
        <w:rPr>
          <w:rFonts w:ascii="宋体" w:hAnsi="宋体"/>
          <w:color w:val="000000"/>
          <w:sz w:val="23"/>
          <w:szCs w:val="23"/>
        </w:rPr>
      </w:pPr>
      <w:r>
        <w:rPr>
          <w:rFonts w:hint="eastAsia" w:ascii="宋体" w:hAnsi="宋体"/>
          <w:color w:val="000000"/>
          <w:sz w:val="23"/>
          <w:szCs w:val="23"/>
        </w:rPr>
        <w:t>付款方式</w:t>
      </w:r>
    </w:p>
    <w:p>
      <w:pPr>
        <w:numPr>
          <w:ilvl w:val="0"/>
          <w:numId w:val="8"/>
        </w:numPr>
        <w:rPr>
          <w:rFonts w:ascii="宋体" w:hAnsi="宋体"/>
          <w:color w:val="000000"/>
          <w:sz w:val="23"/>
          <w:szCs w:val="23"/>
        </w:rPr>
      </w:pPr>
      <w:r>
        <w:rPr>
          <w:rFonts w:hint="eastAsia" w:ascii="宋体" w:hAnsi="宋体"/>
          <w:color w:val="000000"/>
          <w:sz w:val="23"/>
          <w:szCs w:val="23"/>
        </w:rPr>
        <w:t>一次性付款。</w:t>
      </w:r>
    </w:p>
    <w:p>
      <w:pPr>
        <w:numPr>
          <w:ilvl w:val="0"/>
          <w:numId w:val="8"/>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4"/>
        </w:numPr>
        <w:rPr>
          <w:rFonts w:ascii="宋体" w:hAnsi="宋体"/>
          <w:color w:val="000000"/>
          <w:sz w:val="23"/>
          <w:szCs w:val="23"/>
        </w:rPr>
      </w:pPr>
      <w:r>
        <w:rPr>
          <w:rFonts w:hint="eastAsia" w:ascii="宋体" w:hAnsi="宋体"/>
          <w:bCs/>
          <w:color w:val="000000"/>
          <w:sz w:val="23"/>
          <w:szCs w:val="23"/>
        </w:rPr>
        <w:t>履约要求</w:t>
      </w:r>
    </w:p>
    <w:p>
      <w:pPr>
        <w:numPr>
          <w:ilvl w:val="0"/>
          <w:numId w:val="9"/>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9"/>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9"/>
        </w:numPr>
        <w:rPr>
          <w:rFonts w:ascii="宋体" w:hAnsi="宋体"/>
          <w:color w:val="000000"/>
          <w:sz w:val="23"/>
          <w:szCs w:val="23"/>
        </w:rPr>
      </w:pPr>
      <w:r>
        <w:rPr>
          <w:rFonts w:hint="eastAsia" w:ascii="宋体" w:hAnsi="宋体"/>
          <w:color w:val="000000"/>
          <w:sz w:val="23"/>
          <w:szCs w:val="23"/>
        </w:rPr>
        <w:t>质量要求：。</w:t>
      </w:r>
    </w:p>
    <w:p>
      <w:pPr>
        <w:numPr>
          <w:ilvl w:val="0"/>
          <w:numId w:val="9"/>
        </w:numPr>
        <w:rPr>
          <w:rFonts w:ascii="宋体" w:hAnsi="宋体"/>
          <w:color w:val="000000"/>
          <w:sz w:val="23"/>
          <w:szCs w:val="23"/>
        </w:rPr>
      </w:pPr>
      <w:r>
        <w:rPr>
          <w:rFonts w:hint="eastAsia" w:ascii="宋体" w:hAnsi="宋体"/>
          <w:color w:val="000000"/>
          <w:sz w:val="23"/>
          <w:szCs w:val="23"/>
        </w:rPr>
        <w:t>验收标准：。</w:t>
      </w:r>
    </w:p>
    <w:p>
      <w:pPr>
        <w:numPr>
          <w:ilvl w:val="0"/>
          <w:numId w:val="9"/>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bCs/>
          <w:color w:val="000000"/>
          <w:sz w:val="23"/>
          <w:szCs w:val="23"/>
        </w:rPr>
        <w:t>履约保证金</w:t>
      </w:r>
    </w:p>
    <w:p>
      <w:pPr>
        <w:numPr>
          <w:ilvl w:val="0"/>
          <w:numId w:val="10"/>
        </w:numPr>
        <w:rPr>
          <w:rFonts w:ascii="宋体" w:hAnsi="宋体"/>
          <w:color w:val="000000"/>
          <w:sz w:val="23"/>
          <w:szCs w:val="23"/>
        </w:rPr>
      </w:pPr>
      <w:r>
        <w:rPr>
          <w:rFonts w:hint="eastAsia" w:ascii="宋体" w:hAnsi="宋体"/>
          <w:color w:val="000000"/>
          <w:sz w:val="23"/>
          <w:szCs w:val="23"/>
        </w:rPr>
        <w:t>金额：。</w:t>
      </w:r>
    </w:p>
    <w:p>
      <w:pPr>
        <w:numPr>
          <w:ilvl w:val="0"/>
          <w:numId w:val="10"/>
        </w:numPr>
        <w:rPr>
          <w:rFonts w:ascii="宋体" w:hAnsi="宋体"/>
          <w:color w:val="000000"/>
          <w:sz w:val="23"/>
          <w:szCs w:val="23"/>
        </w:rPr>
      </w:pPr>
      <w:r>
        <w:rPr>
          <w:rFonts w:hint="eastAsia" w:ascii="宋体" w:hAnsi="宋体"/>
          <w:color w:val="000000"/>
          <w:sz w:val="23"/>
          <w:szCs w:val="23"/>
        </w:rPr>
        <w:t>交纳方式：。</w:t>
      </w:r>
    </w:p>
    <w:p>
      <w:pPr>
        <w:numPr>
          <w:ilvl w:val="0"/>
          <w:numId w:val="10"/>
        </w:numPr>
        <w:rPr>
          <w:rFonts w:ascii="宋体" w:hAnsi="宋体"/>
          <w:color w:val="000000"/>
          <w:sz w:val="23"/>
          <w:szCs w:val="23"/>
        </w:rPr>
      </w:pPr>
      <w:r>
        <w:rPr>
          <w:rFonts w:hint="eastAsia" w:ascii="宋体" w:hAnsi="宋体"/>
          <w:color w:val="000000"/>
          <w:sz w:val="23"/>
          <w:szCs w:val="23"/>
        </w:rPr>
        <w:t>用途：。</w:t>
      </w:r>
    </w:p>
    <w:p>
      <w:pPr>
        <w:numPr>
          <w:ilvl w:val="0"/>
          <w:numId w:val="10"/>
        </w:numPr>
        <w:rPr>
          <w:rFonts w:ascii="宋体" w:hAnsi="宋体"/>
          <w:color w:val="000000"/>
          <w:sz w:val="23"/>
          <w:szCs w:val="23"/>
        </w:rPr>
      </w:pPr>
      <w:r>
        <w:rPr>
          <w:rFonts w:hint="eastAsia" w:ascii="宋体" w:hAnsi="宋体"/>
          <w:color w:val="000000"/>
          <w:sz w:val="23"/>
          <w:szCs w:val="23"/>
        </w:rPr>
        <w:t>退回条件：。</w:t>
      </w:r>
    </w:p>
    <w:p>
      <w:pPr>
        <w:numPr>
          <w:ilvl w:val="0"/>
          <w:numId w:val="4"/>
        </w:numPr>
        <w:rPr>
          <w:rFonts w:ascii="宋体" w:hAnsi="宋体"/>
          <w:color w:val="000000"/>
          <w:sz w:val="23"/>
          <w:szCs w:val="23"/>
        </w:rPr>
      </w:pPr>
      <w:r>
        <w:rPr>
          <w:rFonts w:hint="eastAsia" w:ascii="宋体" w:hAnsi="宋体"/>
          <w:color w:val="000000"/>
          <w:sz w:val="23"/>
          <w:szCs w:val="23"/>
        </w:rPr>
        <w:t>甲方的权利与义务</w:t>
      </w:r>
    </w:p>
    <w:p>
      <w:pPr>
        <w:numPr>
          <w:ilvl w:val="0"/>
          <w:numId w:val="11"/>
        </w:numPr>
        <w:rPr>
          <w:rFonts w:ascii="宋体" w:hAnsi="宋体"/>
          <w:color w:val="000000"/>
          <w:sz w:val="23"/>
          <w:szCs w:val="23"/>
        </w:rPr>
      </w:pPr>
      <w:r>
        <w:rPr>
          <w:rFonts w:hint="eastAsia" w:ascii="宋体" w:hAnsi="宋体"/>
          <w:color w:val="000000"/>
          <w:sz w:val="23"/>
          <w:szCs w:val="23"/>
        </w:rPr>
        <w:t>双方的约定：。</w:t>
      </w:r>
    </w:p>
    <w:p>
      <w:pPr>
        <w:numPr>
          <w:ilvl w:val="0"/>
          <w:numId w:val="11"/>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4"/>
        </w:numPr>
        <w:rPr>
          <w:rFonts w:ascii="宋体" w:hAnsi="宋体"/>
          <w:color w:val="000000"/>
          <w:sz w:val="23"/>
          <w:szCs w:val="23"/>
        </w:rPr>
      </w:pPr>
      <w:r>
        <w:rPr>
          <w:rFonts w:hint="eastAsia" w:ascii="宋体" w:hAnsi="宋体"/>
          <w:color w:val="000000"/>
          <w:sz w:val="23"/>
          <w:szCs w:val="23"/>
        </w:rPr>
        <w:t>乙方的权利与义务</w:t>
      </w:r>
    </w:p>
    <w:p>
      <w:pPr>
        <w:numPr>
          <w:ilvl w:val="0"/>
          <w:numId w:val="12"/>
        </w:numPr>
        <w:rPr>
          <w:rFonts w:ascii="宋体" w:hAnsi="宋体"/>
          <w:color w:val="000000"/>
          <w:sz w:val="23"/>
          <w:szCs w:val="23"/>
        </w:rPr>
      </w:pPr>
      <w:r>
        <w:rPr>
          <w:rFonts w:hint="eastAsia" w:ascii="宋体" w:hAnsi="宋体"/>
          <w:color w:val="000000"/>
          <w:sz w:val="23"/>
          <w:szCs w:val="23"/>
        </w:rPr>
        <w:t>双方的约定：。</w:t>
      </w:r>
    </w:p>
    <w:p>
      <w:pPr>
        <w:numPr>
          <w:ilvl w:val="0"/>
          <w:numId w:val="12"/>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4"/>
        </w:numPr>
        <w:rPr>
          <w:rFonts w:ascii="宋体" w:hAnsi="宋体"/>
          <w:color w:val="000000"/>
          <w:sz w:val="23"/>
          <w:szCs w:val="23"/>
        </w:rPr>
      </w:pPr>
      <w:r>
        <w:rPr>
          <w:rFonts w:hint="eastAsia" w:ascii="宋体" w:hAnsi="宋体"/>
          <w:color w:val="000000"/>
          <w:sz w:val="23"/>
          <w:szCs w:val="23"/>
        </w:rPr>
        <w:t>违约处罚</w:t>
      </w:r>
    </w:p>
    <w:p>
      <w:pPr>
        <w:numPr>
          <w:ilvl w:val="0"/>
          <w:numId w:val="13"/>
        </w:numPr>
        <w:rPr>
          <w:rFonts w:ascii="宋体" w:hAnsi="宋体"/>
          <w:color w:val="000000"/>
          <w:sz w:val="23"/>
          <w:szCs w:val="23"/>
        </w:rPr>
      </w:pPr>
      <w:r>
        <w:rPr>
          <w:rFonts w:hint="eastAsia" w:ascii="宋体" w:hAnsi="宋体"/>
          <w:color w:val="000000"/>
          <w:sz w:val="23"/>
          <w:szCs w:val="23"/>
        </w:rPr>
        <w:t>双方的约定：。</w:t>
      </w:r>
    </w:p>
    <w:p>
      <w:pPr>
        <w:numPr>
          <w:ilvl w:val="0"/>
          <w:numId w:val="4"/>
        </w:numPr>
        <w:rPr>
          <w:rFonts w:ascii="宋体" w:hAnsi="宋体"/>
          <w:color w:val="000000"/>
          <w:sz w:val="23"/>
          <w:szCs w:val="23"/>
        </w:rPr>
      </w:pPr>
      <w:r>
        <w:rPr>
          <w:rFonts w:hint="eastAsia" w:ascii="宋体" w:hAnsi="宋体"/>
          <w:color w:val="000000"/>
          <w:sz w:val="23"/>
          <w:szCs w:val="23"/>
        </w:rPr>
        <w:t>免责条款</w:t>
      </w:r>
    </w:p>
    <w:p>
      <w:pPr>
        <w:numPr>
          <w:ilvl w:val="0"/>
          <w:numId w:val="14"/>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14"/>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14"/>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争议的解决</w:t>
      </w:r>
    </w:p>
    <w:p>
      <w:pPr>
        <w:numPr>
          <w:ilvl w:val="0"/>
          <w:numId w:val="15"/>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15"/>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4"/>
        </w:numPr>
        <w:rPr>
          <w:rFonts w:ascii="宋体" w:hAnsi="宋体"/>
          <w:color w:val="000000"/>
          <w:sz w:val="23"/>
          <w:szCs w:val="23"/>
        </w:rPr>
      </w:pPr>
      <w:r>
        <w:rPr>
          <w:rFonts w:hint="eastAsia" w:ascii="宋体" w:hAnsi="宋体"/>
          <w:bCs/>
          <w:color w:val="000000"/>
          <w:sz w:val="23"/>
          <w:szCs w:val="23"/>
        </w:rPr>
        <w:t>合同生效</w:t>
      </w:r>
    </w:p>
    <w:p>
      <w:pPr>
        <w:numPr>
          <w:ilvl w:val="0"/>
          <w:numId w:val="16"/>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4"/>
        </w:numPr>
        <w:rPr>
          <w:rFonts w:ascii="宋体" w:hAnsi="宋体"/>
          <w:color w:val="000000"/>
          <w:sz w:val="23"/>
          <w:szCs w:val="23"/>
        </w:rPr>
      </w:pPr>
      <w:r>
        <w:rPr>
          <w:rFonts w:hint="eastAsia" w:ascii="宋体" w:hAnsi="宋体"/>
          <w:bCs/>
          <w:color w:val="000000"/>
          <w:sz w:val="23"/>
          <w:szCs w:val="23"/>
        </w:rPr>
        <w:t>合同的解除</w:t>
      </w:r>
    </w:p>
    <w:p>
      <w:pPr>
        <w:numPr>
          <w:ilvl w:val="0"/>
          <w:numId w:val="17"/>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17"/>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附则</w:t>
      </w:r>
    </w:p>
    <w:p>
      <w:pPr>
        <w:numPr>
          <w:ilvl w:val="0"/>
          <w:numId w:val="18"/>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18"/>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18"/>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合同附件</w:t>
      </w:r>
    </w:p>
    <w:p>
      <w:pPr>
        <w:numPr>
          <w:ilvl w:val="0"/>
          <w:numId w:val="19"/>
        </w:numPr>
        <w:rPr>
          <w:rFonts w:ascii="宋体" w:hAnsi="宋体"/>
          <w:color w:val="000000"/>
          <w:sz w:val="23"/>
          <w:szCs w:val="23"/>
        </w:rPr>
      </w:pPr>
      <w:r>
        <w:rPr>
          <w:rFonts w:hint="eastAsia" w:ascii="宋体" w:hAnsi="宋体"/>
          <w:color w:val="000000"/>
          <w:sz w:val="23"/>
          <w:szCs w:val="23"/>
        </w:rPr>
        <w:t>附件一：价格明细清单。</w:t>
      </w:r>
    </w:p>
    <w:p>
      <w:pPr>
        <w:numPr>
          <w:ilvl w:val="0"/>
          <w:numId w:val="19"/>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19"/>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18"/>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line="240" w:lineRule="auto"/>
        <w:ind w:left="0" w:leftChars="0" w:firstLine="0" w:firstLineChars="0"/>
        <w:jc w:val="center"/>
        <w:rPr>
          <w:rFonts w:ascii="宋体" w:hAnsi="宋体"/>
          <w:color w:val="000000"/>
          <w:sz w:val="28"/>
          <w:szCs w:val="23"/>
        </w:rPr>
      </w:pPr>
      <w:r>
        <w:rPr>
          <w:b w:val="0"/>
          <w:color w:val="000000"/>
          <w:sz w:val="23"/>
          <w:szCs w:val="23"/>
        </w:rPr>
        <w:br w:type="page"/>
      </w:r>
      <w:bookmarkStart w:id="32" w:name="_Toc298242764"/>
      <w:bookmarkStart w:id="33" w:name="_Toc20964"/>
      <w:r>
        <w:rPr>
          <w:rFonts w:hint="eastAsia" w:ascii="仿宋" w:hAnsi="仿宋" w:eastAsia="仿宋" w:cs="仿宋"/>
          <w:b/>
          <w:bCs/>
          <w:kern w:val="2"/>
          <w:sz w:val="32"/>
          <w:szCs w:val="32"/>
          <w:lang w:val="en-US" w:eastAsia="zh-CN" w:bidi="ar-SA"/>
        </w:rPr>
        <w:t>第七部分  投标文件格式</w:t>
      </w:r>
      <w:bookmarkEnd w:id="32"/>
      <w:bookmarkEnd w:id="33"/>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0"/>
        </w:numPr>
        <w:bidi w:val="0"/>
        <w:ind w:leftChars="0"/>
      </w:pPr>
      <w:bookmarkStart w:id="34" w:name="_Toc26404"/>
      <w:r>
        <w:rPr>
          <w:rFonts w:hint="eastAsia"/>
          <w:lang w:val="en-US" w:eastAsia="zh-CN"/>
        </w:rPr>
        <w:t xml:space="preserve">7.1 </w:t>
      </w:r>
      <w:r>
        <w:rPr>
          <w:rFonts w:hint="eastAsia"/>
        </w:rPr>
        <w:t>投标函</w:t>
      </w:r>
      <w:bookmarkEnd w:id="34"/>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w:t>
      </w:r>
      <w:r>
        <w:rPr>
          <w:rFonts w:hint="eastAsia" w:ascii="宋体" w:hAnsi="宋体"/>
          <w:color w:val="000000"/>
          <w:kern w:val="28"/>
          <w:sz w:val="23"/>
          <w:szCs w:val="23"/>
          <w:u w:val="single"/>
          <w:lang w:val="en-US" w:eastAsia="zh-CN"/>
        </w:rPr>
        <w:t xml:space="preserve">  </w:t>
      </w:r>
      <w:r>
        <w:rPr>
          <w:rFonts w:hint="eastAsia" w:ascii="宋体" w:hAnsi="宋体"/>
          <w:color w:val="000000"/>
          <w:kern w:val="28"/>
          <w:sz w:val="23"/>
          <w:szCs w:val="23"/>
          <w:u w:val="single"/>
        </w:rPr>
        <w:t>项目</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5" w:name="OLE_LINK4"/>
      <w:r>
        <w:rPr>
          <w:rFonts w:hint="eastAsia" w:ascii="宋体" w:hAnsi="宋体"/>
          <w:color w:val="000000"/>
          <w:sz w:val="23"/>
          <w:szCs w:val="23"/>
        </w:rPr>
        <w:t>副本</w:t>
      </w:r>
      <w:bookmarkEnd w:id="35"/>
      <w:r>
        <w:rPr>
          <w:rFonts w:hint="eastAsia" w:ascii="宋体" w:hAnsi="宋体"/>
          <w:b/>
          <w:bCs/>
          <w:color w:val="FF0000"/>
          <w:sz w:val="23"/>
          <w:szCs w:val="23"/>
          <w:u w:val="single"/>
        </w:rPr>
        <w:t>4</w:t>
      </w:r>
      <w:r>
        <w:rPr>
          <w:rFonts w:hint="eastAsia" w:ascii="宋体" w:hAnsi="宋体"/>
          <w:color w:val="000000"/>
          <w:sz w:val="23"/>
          <w:szCs w:val="23"/>
        </w:rPr>
        <w:t>套，投标文件包括如下内容：</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1"/>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hint="default" w:ascii="宋体" w:hAnsi="宋体" w:eastAsia="宋体"/>
          <w:sz w:val="23"/>
          <w:szCs w:val="23"/>
          <w:u w:val="single"/>
          <w:lang w:val="en-US" w:eastAsia="zh-CN"/>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r>
        <w:rPr>
          <w:rFonts w:hint="eastAsia" w:ascii="宋体" w:hAnsi="宋体"/>
          <w:sz w:val="23"/>
          <w:szCs w:val="23"/>
          <w:u w:val="single"/>
          <w:lang w:val="en-US" w:eastAsia="zh-CN"/>
        </w:rPr>
        <w:t xml:space="preserve">                      </w:t>
      </w:r>
    </w:p>
    <w:p>
      <w:pPr>
        <w:spacing w:line="440" w:lineRule="exact"/>
        <w:ind w:firstLine="230" w:firstLineChars="100"/>
        <w:rPr>
          <w:rFonts w:ascii="宋体" w:hAnsi="宋体"/>
          <w:sz w:val="23"/>
          <w:szCs w:val="23"/>
          <w:u w:val="single"/>
        </w:rPr>
      </w:pPr>
      <w:r>
        <w:rPr>
          <w:rFonts w:hint="eastAsia" w:ascii="宋体" w:hAnsi="宋体"/>
          <w:sz w:val="23"/>
          <w:szCs w:val="23"/>
        </w:rPr>
        <w:t>地    址：</w:t>
      </w:r>
      <w:r>
        <w:rPr>
          <w:rFonts w:hint="eastAsia" w:ascii="宋体" w:hAnsi="宋体"/>
          <w:sz w:val="23"/>
          <w:szCs w:val="23"/>
          <w:u w:val="single"/>
          <w:lang w:val="en-US" w:eastAsia="zh-CN"/>
        </w:rPr>
        <w:t xml:space="preserve">                           </w:t>
      </w:r>
      <w:r>
        <w:rPr>
          <w:rFonts w:hint="eastAsia" w:ascii="宋体" w:hAnsi="宋体"/>
          <w:sz w:val="23"/>
          <w:szCs w:val="23"/>
        </w:rPr>
        <w:t>邮政编码：</w:t>
      </w:r>
      <w:r>
        <w:rPr>
          <w:rFonts w:hint="eastAsia" w:ascii="宋体" w:hAnsi="宋体"/>
          <w:sz w:val="23"/>
          <w:szCs w:val="23"/>
          <w:u w:val="single"/>
          <w:lang w:val="en-US" w:eastAsia="zh-CN"/>
        </w:rPr>
        <w:t xml:space="preserve">                      </w:t>
      </w:r>
    </w:p>
    <w:p>
      <w:pPr>
        <w:spacing w:line="440" w:lineRule="exact"/>
        <w:rPr>
          <w:rFonts w:hint="default" w:ascii="宋体" w:hAnsi="宋体" w:eastAsia="宋体"/>
          <w:sz w:val="23"/>
          <w:szCs w:val="23"/>
          <w:u w:val="single"/>
          <w:lang w:val="en-US" w:eastAsia="zh-CN"/>
        </w:rPr>
      </w:pPr>
      <w:r>
        <w:rPr>
          <w:rFonts w:hint="eastAsia" w:ascii="宋体" w:hAnsi="宋体"/>
          <w:sz w:val="23"/>
          <w:szCs w:val="23"/>
        </w:rPr>
        <w:t xml:space="preserve">  代表姓名：</w:t>
      </w:r>
      <w:r>
        <w:rPr>
          <w:rFonts w:hint="eastAsia" w:ascii="宋体" w:hAnsi="宋体"/>
          <w:sz w:val="23"/>
          <w:szCs w:val="23"/>
          <w:u w:val="single"/>
          <w:lang w:val="en-US" w:eastAsia="zh-CN"/>
        </w:rPr>
        <w:t xml:space="preserve">                           </w:t>
      </w:r>
      <w:r>
        <w:rPr>
          <w:rFonts w:hint="eastAsia" w:ascii="宋体" w:hAnsi="宋体"/>
          <w:sz w:val="23"/>
          <w:szCs w:val="23"/>
        </w:rPr>
        <w:t>职    务：</w:t>
      </w:r>
      <w:r>
        <w:rPr>
          <w:rFonts w:hint="eastAsia" w:ascii="宋体" w:hAnsi="宋体"/>
          <w:sz w:val="23"/>
          <w:szCs w:val="23"/>
          <w:u w:val="single"/>
          <w:lang w:val="en-US" w:eastAsia="zh-CN"/>
        </w:rPr>
        <w:t xml:space="preserve">                      </w:t>
      </w:r>
    </w:p>
    <w:p>
      <w:pPr>
        <w:spacing w:line="440" w:lineRule="exact"/>
        <w:rPr>
          <w:rFonts w:ascii="宋体" w:hAnsi="宋体"/>
          <w:sz w:val="23"/>
          <w:szCs w:val="23"/>
          <w:u w:val="single"/>
        </w:rPr>
      </w:pP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pPr>
      <w:r>
        <w:rPr>
          <w:rFonts w:hint="eastAsia" w:ascii="宋体" w:hAnsi="宋体"/>
          <w:color w:val="000000"/>
          <w:sz w:val="23"/>
          <w:szCs w:val="23"/>
        </w:rPr>
        <w:br w:type="page"/>
      </w:r>
      <w:bookmarkStart w:id="36" w:name="_Toc298242766"/>
      <w:bookmarkStart w:id="37" w:name="_Toc20173"/>
      <w:r>
        <w:rPr>
          <w:rFonts w:hint="eastAsia" w:ascii="宋体" w:hAnsi="宋体"/>
          <w:b/>
          <w:bCs/>
          <w:color w:val="000000"/>
          <w:sz w:val="28"/>
          <w:szCs w:val="28"/>
          <w:lang w:val="en-US" w:eastAsia="zh-CN"/>
        </w:rPr>
        <w:t xml:space="preserve">7.2 </w:t>
      </w:r>
      <w:r>
        <w:rPr>
          <w:rFonts w:hint="eastAsia" w:ascii="宋体" w:hAnsi="宋体"/>
          <w:b/>
          <w:bCs/>
          <w:color w:val="000000"/>
          <w:sz w:val="28"/>
          <w:szCs w:val="28"/>
        </w:rPr>
        <w:t>价格文件</w:t>
      </w:r>
      <w:bookmarkEnd w:id="36"/>
      <w:bookmarkEnd w:id="37"/>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1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佛山校区第三食堂公开招标夜宵档口餐饮服务项目</w:t>
            </w:r>
          </w:p>
        </w:tc>
      </w:tr>
      <w:tr>
        <w:tblPrEx>
          <w:tblCellMar>
            <w:top w:w="0" w:type="dxa"/>
            <w:left w:w="30" w:type="dxa"/>
            <w:bottom w:w="0" w:type="dxa"/>
            <w:right w:w="30" w:type="dxa"/>
          </w:tblCellMar>
        </w:tblPrEx>
        <w:trPr>
          <w:cantSplit/>
          <w:trHeight w:val="322"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b/>
                <w:color w:val="000000"/>
                <w:sz w:val="24"/>
              </w:rPr>
            </w:pPr>
            <w:r>
              <w:rPr>
                <w:rFonts w:hint="eastAsia" w:ascii="宋体" w:hAnsi="宋体"/>
                <w:b/>
                <w:color w:val="000000"/>
                <w:sz w:val="24"/>
              </w:rPr>
              <w:t>年度投标报价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b/>
                <w:color w:val="000000"/>
                <w:kern w:val="0"/>
                <w:sz w:val="24"/>
                <w:u w:val="none"/>
              </w:rPr>
            </w:pPr>
            <w:r>
              <w:rPr>
                <w:rFonts w:hint="eastAsia" w:ascii="宋体" w:hAnsi="宋体"/>
                <w:b/>
                <w:color w:val="000000"/>
                <w:kern w:val="0"/>
                <w:sz w:val="24"/>
                <w:u w:val="none"/>
              </w:rPr>
              <w:t xml:space="preserve">  </w:t>
            </w:r>
          </w:p>
          <w:p>
            <w:pPr>
              <w:autoSpaceDE w:val="0"/>
              <w:autoSpaceDN w:val="0"/>
              <w:adjustRightInd w:val="0"/>
              <w:spacing w:line="480" w:lineRule="exact"/>
              <w:jc w:val="left"/>
              <w:rPr>
                <w:rFonts w:hint="eastAsia"/>
                <w:b/>
                <w:color w:val="000000"/>
                <w:sz w:val="24"/>
              </w:rPr>
            </w:pPr>
            <w:r>
              <w:rPr>
                <w:rFonts w:hint="eastAsia" w:ascii="宋体" w:hAnsi="宋体"/>
                <w:b/>
                <w:color w:val="000000"/>
                <w:kern w:val="0"/>
                <w:sz w:val="24"/>
                <w:u w:val="none"/>
              </w:rPr>
              <w:t xml:space="preserve"> </w:t>
            </w:r>
            <w:r>
              <w:rPr>
                <w:rFonts w:hint="eastAsia" w:ascii="宋体" w:hAnsi="宋体"/>
                <w:b/>
                <w:color w:val="000000"/>
                <w:kern w:val="0"/>
                <w:sz w:val="24"/>
                <w:u w:val="none"/>
                <w:lang w:val="en-US" w:eastAsia="zh-CN"/>
              </w:rPr>
              <w:t xml:space="preserve">   </w:t>
            </w:r>
            <w:r>
              <w:rPr>
                <w:rFonts w:hint="eastAsia" w:ascii="宋体" w:hAnsi="宋体"/>
                <w:b/>
                <w:color w:val="000000"/>
                <w:kern w:val="0"/>
                <w:sz w:val="24"/>
                <w:u w:val="single"/>
              </w:rPr>
              <w:t xml:space="preserve">￥                       </w:t>
            </w:r>
            <w:r>
              <w:rPr>
                <w:rFonts w:hint="eastAsia" w:ascii="宋体" w:hAnsi="宋体"/>
                <w:b/>
                <w:color w:val="000000"/>
                <w:sz w:val="24"/>
              </w:rPr>
              <w:t>元/年</w:t>
            </w:r>
          </w:p>
        </w:tc>
      </w:tr>
      <w:tr>
        <w:tblPrEx>
          <w:tblCellMar>
            <w:top w:w="0" w:type="dxa"/>
            <w:left w:w="30" w:type="dxa"/>
            <w:bottom w:w="0" w:type="dxa"/>
            <w:right w:w="30" w:type="dxa"/>
          </w:tblCellMar>
        </w:tblPrEx>
        <w:trPr>
          <w:cantSplit/>
          <w:trHeight w:val="322"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b/>
                <w:color w:val="000000"/>
                <w:sz w:val="24"/>
                <w:u w:val="single"/>
                <w:lang w:val="en-US" w:eastAsia="zh-CN"/>
              </w:rPr>
            </w:pPr>
          </w:p>
          <w:p>
            <w:pPr>
              <w:autoSpaceDE w:val="0"/>
              <w:autoSpaceDN w:val="0"/>
              <w:adjustRightInd w:val="0"/>
              <w:spacing w:line="480" w:lineRule="exact"/>
              <w:ind w:firstLine="482" w:firstLineChars="200"/>
              <w:jc w:val="left"/>
              <w:rPr>
                <w:rFonts w:hint="eastAsia"/>
                <w:b/>
                <w:color w:val="000000"/>
                <w:sz w:val="24"/>
              </w:rPr>
            </w:pPr>
            <w:r>
              <w:rPr>
                <w:rFonts w:hint="eastAsia" w:ascii="宋体"/>
                <w:b/>
                <w:color w:val="000000"/>
                <w:sz w:val="24"/>
                <w:u w:val="single"/>
              </w:rPr>
              <w:t xml:space="preserve">大写：                             </w:t>
            </w:r>
            <w:r>
              <w:rPr>
                <w:rFonts w:hint="eastAsia" w:ascii="宋体"/>
                <w:b/>
                <w:color w:val="000000"/>
                <w:sz w:val="24"/>
                <w:u w:val="none"/>
              </w:rPr>
              <w:t xml:space="preserve">          </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ascii="宋体"/>
                <w:b/>
                <w:color w:val="000000"/>
                <w:sz w:val="24"/>
                <w:u w:val="single"/>
              </w:rPr>
            </w:pPr>
          </w:p>
          <w:p>
            <w:pPr>
              <w:pStyle w:val="2"/>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2"/>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2"/>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olor w:val="000000"/>
                <w:kern w:val="0"/>
                <w:sz w:val="23"/>
                <w:szCs w:val="23"/>
              </w:rPr>
            </w:pPr>
            <w:r>
              <w:rPr>
                <w:rFonts w:hint="eastAsia"/>
                <w:b/>
                <w:color w:val="000000"/>
                <w:sz w:val="24"/>
              </w:rPr>
              <w:t>投标总</w:t>
            </w:r>
            <w:r>
              <w:rPr>
                <w:rFonts w:hint="eastAsia"/>
                <w:b/>
                <w:color w:val="000000"/>
                <w:sz w:val="24"/>
                <w:lang w:val="en-US" w:eastAsia="zh-CN"/>
              </w:rPr>
              <w:t>报</w:t>
            </w:r>
            <w:r>
              <w:rPr>
                <w:rFonts w:hint="eastAsia"/>
                <w:b/>
                <w:color w:val="000000"/>
                <w:sz w:val="24"/>
              </w:rPr>
              <w:t>价=年度投标报价</w:t>
            </w:r>
            <w:r>
              <w:rPr>
                <w:rFonts w:ascii="Arial" w:hAnsi="Arial" w:cs="Arial"/>
                <w:b/>
                <w:color w:val="000000"/>
                <w:sz w:val="24"/>
                <w:shd w:val="clear" w:color="auto" w:fill="FFFFFF"/>
              </w:rPr>
              <w:t>×</w:t>
            </w:r>
            <w:r>
              <w:rPr>
                <w:rFonts w:hint="eastAsia" w:ascii="Arial" w:hAnsi="Arial" w:cs="Arial"/>
                <w:b/>
                <w:color w:val="000000"/>
                <w:sz w:val="24"/>
                <w:shd w:val="clear" w:color="auto" w:fill="FFFFFF"/>
              </w:rPr>
              <w:t>3年。</w:t>
            </w:r>
          </w:p>
        </w:tc>
      </w:tr>
    </w:tbl>
    <w:p>
      <w:pPr>
        <w:pStyle w:val="10"/>
        <w:spacing w:line="480" w:lineRule="exact"/>
        <w:rPr>
          <w:rFonts w:hAnsi="宋体"/>
          <w:color w:val="000000"/>
          <w:sz w:val="23"/>
          <w:szCs w:val="23"/>
        </w:rPr>
      </w:pPr>
      <w:r>
        <w:rPr>
          <w:rFonts w:hint="eastAsia" w:hAnsi="宋体"/>
          <w:color w:val="000000"/>
          <w:sz w:val="23"/>
          <w:szCs w:val="23"/>
        </w:rPr>
        <w:t>注：</w:t>
      </w:r>
    </w:p>
    <w:p>
      <w:pPr>
        <w:pStyle w:val="10"/>
        <w:spacing w:line="0" w:lineRule="atLeast"/>
        <w:ind w:left="833" w:leftChars="203" w:hanging="407" w:hangingChars="177"/>
        <w:rPr>
          <w:color w:val="000000"/>
          <w:sz w:val="23"/>
          <w:szCs w:val="23"/>
        </w:rPr>
      </w:pPr>
      <w:r>
        <w:rPr>
          <w:rFonts w:hAnsi="宋体"/>
          <w:color w:val="000000"/>
          <w:sz w:val="23"/>
          <w:szCs w:val="23"/>
        </w:rPr>
        <w:t>1</w:t>
      </w:r>
      <w:r>
        <w:rPr>
          <w:rFonts w:hint="eastAsia" w:hAnsi="宋体"/>
          <w:color w:val="000000"/>
          <w:sz w:val="23"/>
          <w:szCs w:val="23"/>
        </w:rPr>
        <w:t>、</w:t>
      </w:r>
      <w:r>
        <w:rPr>
          <w:rFonts w:hint="eastAsia"/>
          <w:color w:val="000000"/>
          <w:sz w:val="23"/>
          <w:szCs w:val="23"/>
        </w:rPr>
        <w:t>填写此表时</w:t>
      </w:r>
      <w:r>
        <w:rPr>
          <w:rFonts w:hint="eastAsia"/>
          <w:color w:val="000000"/>
          <w:sz w:val="23"/>
          <w:szCs w:val="23"/>
          <w:u w:val="single"/>
        </w:rPr>
        <w:t>不得改变表格的形式</w:t>
      </w:r>
      <w:r>
        <w:rPr>
          <w:rFonts w:hint="eastAsia"/>
          <w:color w:val="000000"/>
          <w:sz w:val="23"/>
          <w:szCs w:val="23"/>
        </w:rPr>
        <w:t>。</w:t>
      </w:r>
    </w:p>
    <w:p>
      <w:pPr>
        <w:pStyle w:val="10"/>
        <w:spacing w:line="0" w:lineRule="atLeast"/>
        <w:ind w:left="833" w:leftChars="203" w:hanging="407" w:hangingChars="177"/>
        <w:rPr>
          <w:color w:val="000000"/>
          <w:sz w:val="23"/>
          <w:szCs w:val="23"/>
        </w:rPr>
      </w:pPr>
      <w:r>
        <w:rPr>
          <w:rFonts w:hint="eastAsia"/>
          <w:color w:val="000000"/>
          <w:sz w:val="23"/>
          <w:szCs w:val="23"/>
          <w:lang w:val="en-US" w:eastAsia="zh-CN"/>
        </w:rPr>
        <w:t>2</w:t>
      </w:r>
      <w:r>
        <w:rPr>
          <w:rFonts w:hint="eastAsia"/>
          <w:color w:val="000000"/>
          <w:sz w:val="23"/>
          <w:szCs w:val="23"/>
        </w:rPr>
        <w:t>、以上表中内容必须计算机录入、填写、打印</w:t>
      </w:r>
      <w:r>
        <w:rPr>
          <w:rFonts w:hint="eastAsia"/>
          <w:color w:val="000000"/>
          <w:sz w:val="23"/>
          <w:szCs w:val="23"/>
          <w:lang w:eastAsia="zh-CN"/>
        </w:rPr>
        <w:t>，</w:t>
      </w:r>
      <w:r>
        <w:rPr>
          <w:rFonts w:hint="eastAsia"/>
          <w:color w:val="000000"/>
          <w:sz w:val="23"/>
          <w:szCs w:val="23"/>
        </w:rPr>
        <w:t>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hint="eastAsia" w:ascii="宋体" w:hAnsi="宋体"/>
          <w:b w:val="0"/>
          <w:color w:val="000000"/>
          <w:sz w:val="23"/>
          <w:szCs w:val="23"/>
          <w:lang w:val="en-US" w:eastAsia="zh-CN"/>
        </w:rPr>
      </w:pPr>
      <w:r>
        <w:rPr>
          <w:color w:val="000000"/>
          <w:sz w:val="23"/>
          <w:szCs w:val="23"/>
        </w:rPr>
        <w:br w:type="page"/>
      </w:r>
      <w:bookmarkStart w:id="38" w:name="_Toc295727243"/>
    </w:p>
    <w:p>
      <w:pPr>
        <w:pStyle w:val="5"/>
        <w:numPr>
          <w:ilvl w:val="0"/>
          <w:numId w:val="0"/>
        </w:numPr>
        <w:bidi w:val="0"/>
        <w:ind w:leftChars="0"/>
        <w:rPr>
          <w:rFonts w:hint="eastAsia"/>
        </w:rPr>
      </w:pPr>
      <w:bookmarkStart w:id="39" w:name="_Toc295727241"/>
      <w:bookmarkStart w:id="40" w:name="_Toc7488"/>
      <w:bookmarkStart w:id="41" w:name="_Toc59630614"/>
      <w:r>
        <w:rPr>
          <w:rFonts w:hint="eastAsia"/>
          <w:lang w:val="en-US" w:eastAsia="zh-CN"/>
        </w:rPr>
        <w:t>7.3 服务</w:t>
      </w:r>
      <w:r>
        <w:rPr>
          <w:rFonts w:hint="eastAsia"/>
        </w:rPr>
        <w:t>文件</w:t>
      </w:r>
      <w:bookmarkEnd w:id="39"/>
      <w:bookmarkEnd w:id="40"/>
      <w:bookmarkEnd w:id="41"/>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 xml:space="preserve">7.3.1 </w:t>
      </w:r>
      <w:r>
        <w:rPr>
          <w:rFonts w:hint="eastAsia" w:ascii="宋体" w:hAnsi="宋体"/>
          <w:b/>
          <w:color w:val="000000"/>
          <w:sz w:val="24"/>
          <w:szCs w:val="24"/>
        </w:rPr>
        <w:t>一般</w:t>
      </w:r>
      <w:r>
        <w:rPr>
          <w:rFonts w:hint="eastAsia" w:ascii="宋体" w:hAnsi="宋体"/>
          <w:b/>
          <w:color w:val="000000"/>
          <w:sz w:val="24"/>
          <w:szCs w:val="24"/>
          <w:lang w:val="en-US" w:eastAsia="zh-CN"/>
        </w:rPr>
        <w:t>服务</w:t>
      </w:r>
      <w:r>
        <w:rPr>
          <w:rFonts w:hint="eastAsia" w:ascii="宋体" w:hAnsi="宋体"/>
          <w:b/>
          <w:color w:val="000000"/>
          <w:sz w:val="24"/>
          <w:szCs w:val="24"/>
        </w:rPr>
        <w:t>响应表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6</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7</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8</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w:t>
      </w:r>
      <w:r>
        <w:rPr>
          <w:rFonts w:hint="eastAsia" w:ascii="宋体" w:hAnsi="宋体"/>
          <w:color w:val="000000"/>
          <w:szCs w:val="21"/>
          <w:lang w:val="en-US" w:eastAsia="zh-CN"/>
        </w:rPr>
        <w:t>中的</w:t>
      </w:r>
      <w:r>
        <w:rPr>
          <w:rFonts w:hint="eastAsia" w:ascii="宋体" w:hAnsi="宋体"/>
          <w:color w:val="000000"/>
          <w:szCs w:val="21"/>
        </w:rPr>
        <w:t>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hint="default"/>
          <w:lang w:val="en-US" w:eastAsia="zh-CN"/>
        </w:rPr>
      </w:pPr>
    </w:p>
    <w:p>
      <w:pPr>
        <w:pStyle w:val="2"/>
        <w:rPr>
          <w:rFonts w:ascii="宋体" w:hAnsi="宋体"/>
          <w:b w:val="0"/>
          <w:color w:val="000000"/>
          <w:sz w:val="23"/>
          <w:szCs w:val="23"/>
        </w:rPr>
      </w:pPr>
    </w:p>
    <w:p>
      <w:pPr>
        <w:numPr>
          <w:ilvl w:val="0"/>
          <w:numId w:val="0"/>
        </w:numPr>
        <w:spacing w:line="560" w:lineRule="exact"/>
        <w:rPr>
          <w:rFonts w:hint="eastAsia" w:ascii="宋体" w:hAnsi="宋体"/>
          <w:b/>
          <w:color w:val="000000"/>
          <w:sz w:val="28"/>
          <w:szCs w:val="28"/>
          <w:lang w:val="en-US" w:eastAsia="zh-CN"/>
        </w:rPr>
      </w:pPr>
      <w:bookmarkStart w:id="42" w:name="_Toc28300"/>
    </w:p>
    <w:p>
      <w:pPr>
        <w:numPr>
          <w:ilvl w:val="0"/>
          <w:numId w:val="0"/>
        </w:numPr>
        <w:spacing w:line="560" w:lineRule="exact"/>
        <w:rPr>
          <w:rFonts w:ascii="宋体" w:hAnsi="宋体"/>
          <w:b/>
          <w:color w:val="000000"/>
          <w:sz w:val="28"/>
          <w:szCs w:val="28"/>
        </w:rPr>
      </w:pPr>
      <w:r>
        <w:rPr>
          <w:rFonts w:hint="eastAsia" w:ascii="宋体" w:hAnsi="宋体"/>
          <w:b/>
          <w:color w:val="000000"/>
          <w:sz w:val="28"/>
          <w:szCs w:val="28"/>
          <w:lang w:val="en-US" w:eastAsia="zh-CN"/>
        </w:rPr>
        <w:t xml:space="preserve">7.3.2 </w:t>
      </w:r>
      <w:r>
        <w:rPr>
          <w:rFonts w:hint="eastAsia" w:ascii="宋体" w:hAnsi="宋体"/>
          <w:b/>
          <w:color w:val="000000"/>
          <w:sz w:val="28"/>
          <w:szCs w:val="28"/>
        </w:rPr>
        <w:t>详细的</w:t>
      </w:r>
      <w:r>
        <w:rPr>
          <w:rFonts w:hint="eastAsia" w:ascii="宋体" w:hAnsi="宋体"/>
          <w:b/>
          <w:color w:val="000000"/>
          <w:sz w:val="28"/>
          <w:szCs w:val="28"/>
          <w:lang w:val="en-US" w:eastAsia="zh-CN"/>
        </w:rPr>
        <w:t>服务</w:t>
      </w:r>
      <w:r>
        <w:rPr>
          <w:rFonts w:hint="eastAsia" w:ascii="宋体" w:hAnsi="宋体"/>
          <w:b/>
          <w:color w:val="000000"/>
          <w:sz w:val="28"/>
          <w:szCs w:val="28"/>
        </w:rPr>
        <w:t>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投标人应对照</w:t>
      </w:r>
      <w:r>
        <w:rPr>
          <w:rFonts w:hint="eastAsia" w:ascii="宋体" w:hAnsi="宋体"/>
          <w:color w:val="000000"/>
          <w:sz w:val="24"/>
          <w:lang w:val="en-US" w:eastAsia="zh-CN"/>
        </w:rPr>
        <w:t>招标文件</w:t>
      </w:r>
      <w:r>
        <w:rPr>
          <w:rFonts w:hint="eastAsia" w:ascii="宋体" w:hAnsi="宋体"/>
          <w:color w:val="000000"/>
          <w:sz w:val="24"/>
        </w:rPr>
        <w:t>中</w:t>
      </w:r>
      <w:r>
        <w:rPr>
          <w:rFonts w:hint="eastAsia" w:ascii="宋体" w:hAnsi="宋体"/>
          <w:color w:val="000000"/>
          <w:sz w:val="24"/>
          <w:lang w:val="en-US" w:eastAsia="zh-CN"/>
        </w:rPr>
        <w:t>的</w:t>
      </w:r>
      <w:r>
        <w:rPr>
          <w:rFonts w:hint="eastAsia" w:ascii="宋体" w:hAnsi="宋体"/>
          <w:color w:val="000000"/>
          <w:sz w:val="24"/>
        </w:rPr>
        <w:t>技术评分表，逐一对本项目技术要求提供书面响应：</w:t>
      </w:r>
    </w:p>
    <w:p>
      <w:pPr>
        <w:numPr>
          <w:ilvl w:val="0"/>
          <w:numId w:val="0"/>
        </w:numPr>
        <w:spacing w:line="480" w:lineRule="exact"/>
        <w:rPr>
          <w:rFonts w:hint="eastAsia" w:ascii="宋体" w:hAnsi="宋体"/>
          <w:color w:val="000000"/>
          <w:sz w:val="24"/>
        </w:rPr>
      </w:pP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5"/>
        <w:numPr>
          <w:ilvl w:val="0"/>
          <w:numId w:val="0"/>
        </w:numPr>
        <w:bidi w:val="0"/>
        <w:ind w:leftChars="0"/>
        <w:rPr>
          <w:rFonts w:hint="eastAsia" w:ascii="Arial" w:hAnsi="Arial"/>
          <w:lang w:val="en-US" w:eastAsia="zh-CN"/>
        </w:rPr>
      </w:pPr>
      <w:r>
        <w:rPr>
          <w:rFonts w:hint="eastAsia"/>
          <w:lang w:val="en-US" w:eastAsia="zh-CN"/>
        </w:rPr>
        <w:t>7</w:t>
      </w:r>
      <w:r>
        <w:rPr>
          <w:rFonts w:hint="eastAsia" w:ascii="Arial" w:hAnsi="Arial"/>
          <w:lang w:val="en-US" w:eastAsia="zh-CN"/>
        </w:rPr>
        <w:t>.4 商务文件</w:t>
      </w:r>
      <w:bookmarkEnd w:id="42"/>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7.4.1</w:t>
      </w:r>
      <w:r>
        <w:rPr>
          <w:rFonts w:hint="eastAsia" w:ascii="宋体" w:hAnsi="宋体"/>
          <w:b/>
          <w:color w:val="000000"/>
          <w:sz w:val="24"/>
          <w:szCs w:val="24"/>
        </w:rPr>
        <w:t>商务响应表</w:t>
      </w:r>
    </w:p>
    <w:p>
      <w:pPr>
        <w:rPr>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7</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8</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9</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10</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1、投标人必须对应招标文件中</w:t>
      </w:r>
      <w:r>
        <w:rPr>
          <w:rFonts w:hint="eastAsia" w:ascii="宋体" w:hAnsi="宋体"/>
          <w:color w:val="000000"/>
          <w:szCs w:val="21"/>
          <w:lang w:val="en-US" w:eastAsia="zh-CN"/>
        </w:rPr>
        <w:t>的</w:t>
      </w:r>
      <w:r>
        <w:rPr>
          <w:rFonts w:hint="eastAsia" w:ascii="宋体" w:hAnsi="宋体"/>
          <w:color w:val="000000"/>
          <w:szCs w:val="21"/>
        </w:rPr>
        <w:t>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2"/>
        <w:ind w:left="0" w:leftChars="0" w:firstLine="0" w:firstLineChars="0"/>
        <w:rPr>
          <w:rFonts w:hint="default" w:ascii="宋体" w:hAnsi="宋体"/>
          <w:b w:val="0"/>
          <w:color w:val="000000"/>
          <w:sz w:val="23"/>
          <w:szCs w:val="23"/>
          <w:lang w:val="en-US" w:eastAsia="zh-CN"/>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7.4.2 详细的商务文件</w:t>
      </w:r>
    </w:p>
    <w:p>
      <w:pPr>
        <w:spacing w:line="360" w:lineRule="auto"/>
        <w:ind w:firstLine="480" w:firstLineChars="200"/>
        <w:rPr>
          <w:rFonts w:hint="eastAsia"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投标人应对照商务要求商务评分表，逐一提供响应本项目的商务文件：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adjustRightInd w:val="0"/>
        <w:snapToGrid w:val="0"/>
        <w:ind w:left="42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22"/>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2"/>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pPr>
    </w:p>
    <w:p>
      <w:pPr>
        <w:pStyle w:val="5"/>
        <w:numPr>
          <w:ilvl w:val="0"/>
          <w:numId w:val="0"/>
        </w:numPr>
        <w:spacing w:before="0" w:after="0" w:line="400" w:lineRule="exact"/>
        <w:ind w:leftChars="0"/>
        <w:rPr>
          <w:rFonts w:ascii="宋体" w:hAnsi="宋体"/>
          <w:b w:val="0"/>
          <w:color w:val="000000"/>
          <w:sz w:val="23"/>
          <w:szCs w:val="23"/>
        </w:rPr>
      </w:pPr>
    </w:p>
    <w:p>
      <w:pPr>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ascii="宋体" w:hAnsi="宋体"/>
          <w:b w:val="0"/>
          <w:color w:val="000000"/>
          <w:sz w:val="23"/>
          <w:szCs w:val="23"/>
        </w:rPr>
      </w:pPr>
    </w:p>
    <w:p>
      <w:pPr>
        <w:pStyle w:val="2"/>
        <w:ind w:left="0" w:leftChars="0" w:firstLine="0" w:firstLineChars="0"/>
        <w:rPr>
          <w:rFonts w:ascii="宋体" w:hAnsi="宋体"/>
          <w:b w:val="0"/>
          <w:color w:val="000000"/>
          <w:sz w:val="23"/>
          <w:szCs w:val="23"/>
        </w:rPr>
      </w:pPr>
    </w:p>
    <w:p>
      <w:pPr>
        <w:pStyle w:val="5"/>
        <w:bidi w:val="0"/>
        <w:rPr>
          <w:rFonts w:hint="eastAsia"/>
          <w:lang w:val="en-US" w:eastAsia="zh-CN"/>
        </w:rPr>
      </w:pPr>
      <w:bookmarkStart w:id="43" w:name="_Toc7659"/>
      <w:r>
        <w:rPr>
          <w:rFonts w:hint="eastAsia"/>
          <w:lang w:val="en-US" w:eastAsia="zh-CN"/>
        </w:rPr>
        <w:t>7.5承诺书</w:t>
      </w:r>
      <w:bookmarkEnd w:id="38"/>
      <w:bookmarkEnd w:id="43"/>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w:t>
      </w:r>
      <w:r>
        <w:rPr>
          <w:rFonts w:hint="eastAsia" w:ascii="宋体"/>
          <w:color w:val="000000"/>
          <w:sz w:val="23"/>
          <w:szCs w:val="23"/>
          <w:lang w:val="en-US" w:eastAsia="zh-CN"/>
        </w:rPr>
        <w:t>餐品价格</w:t>
      </w:r>
      <w:r>
        <w:rPr>
          <w:rFonts w:hint="eastAsia" w:ascii="宋体"/>
          <w:color w:val="000000"/>
          <w:sz w:val="23"/>
          <w:szCs w:val="23"/>
        </w:rPr>
        <w:t>、项目进度、质量保证、</w:t>
      </w:r>
      <w:r>
        <w:rPr>
          <w:rFonts w:hint="eastAsia" w:ascii="宋体"/>
          <w:color w:val="000000"/>
          <w:sz w:val="23"/>
          <w:szCs w:val="23"/>
          <w:lang w:val="en-US" w:eastAsia="zh-CN"/>
        </w:rPr>
        <w:t>人员</w:t>
      </w:r>
      <w:r>
        <w:rPr>
          <w:rFonts w:hint="eastAsia" w:ascii="宋体"/>
          <w:color w:val="000000"/>
          <w:sz w:val="23"/>
          <w:szCs w:val="23"/>
        </w:rPr>
        <w:t>培训、</w:t>
      </w:r>
      <w:r>
        <w:rPr>
          <w:rFonts w:hint="eastAsia" w:ascii="宋体"/>
          <w:color w:val="000000"/>
          <w:sz w:val="23"/>
          <w:szCs w:val="23"/>
          <w:lang w:val="en-US" w:eastAsia="zh-CN"/>
        </w:rPr>
        <w:t>食品安全</w:t>
      </w:r>
      <w:r>
        <w:rPr>
          <w:rFonts w:hint="eastAsia" w:ascii="宋体"/>
          <w:color w:val="000000"/>
          <w:sz w:val="23"/>
          <w:szCs w:val="23"/>
        </w:rPr>
        <w:t>、</w:t>
      </w:r>
      <w:r>
        <w:rPr>
          <w:rFonts w:hint="eastAsia" w:ascii="宋体"/>
          <w:color w:val="000000"/>
          <w:sz w:val="23"/>
          <w:szCs w:val="23"/>
          <w:lang w:val="en-US" w:eastAsia="zh-CN"/>
        </w:rPr>
        <w:t>环境整洁、服从管理</w:t>
      </w:r>
      <w:r>
        <w:rPr>
          <w:rFonts w:hint="eastAsia" w:ascii="宋体"/>
          <w:color w:val="000000"/>
          <w:sz w:val="23"/>
          <w:szCs w:val="23"/>
        </w:rPr>
        <w:t>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bidi w:val="0"/>
        <w:rPr>
          <w:rFonts w:hint="eastAsia"/>
          <w:lang w:val="en-US" w:eastAsia="zh-CN"/>
        </w:rPr>
      </w:pPr>
      <w:bookmarkStart w:id="44" w:name="_Toc23159"/>
      <w:r>
        <w:rPr>
          <w:rFonts w:hint="eastAsia"/>
          <w:lang w:val="en-US" w:eastAsia="zh-CN"/>
        </w:rPr>
        <w:t>7.6 投标资格文件</w:t>
      </w:r>
      <w:bookmarkEnd w:id="44"/>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7.6.1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（填写项目名称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7.6.2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23"/>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23"/>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23"/>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5"/>
        <w:bidi w:val="0"/>
        <w:rPr>
          <w:rFonts w:hint="default"/>
          <w:lang w:val="en-US" w:eastAsia="zh-CN"/>
        </w:rPr>
      </w:pPr>
      <w:bookmarkStart w:id="45" w:name="_Toc26504"/>
      <w:r>
        <w:rPr>
          <w:rFonts w:hint="eastAsia"/>
          <w:lang w:val="en-US" w:eastAsia="zh-CN"/>
        </w:rPr>
        <w:t>7.6.3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2"/>
        <w:ind w:left="0" w:leftChars="0" w:firstLine="0" w:firstLineChars="0"/>
        <w:jc w:val="left"/>
        <w:rPr>
          <w:rFonts w:hint="default"/>
          <w:b w:val="0"/>
          <w:bCs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2"/>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bidi w:val="0"/>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5"/>
        <w:bidi w:val="0"/>
        <w:rPr>
          <w:rFonts w:hint="eastAsia"/>
          <w:lang w:val="en-US" w:eastAsia="zh-CN"/>
        </w:rPr>
      </w:pPr>
      <w:r>
        <w:rPr>
          <w:rFonts w:hint="eastAsia"/>
          <w:lang w:val="en-US" w:eastAsia="zh-CN"/>
        </w:rPr>
        <w:t>7.7法定代表人证明书</w:t>
      </w:r>
      <w:bookmarkEnd w:id="45"/>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1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bidi w:val="0"/>
        <w:rPr>
          <w:rFonts w:hint="eastAsia" w:ascii="Arial" w:hAnsi="Arial"/>
          <w:lang w:val="en-US" w:eastAsia="zh-CN"/>
        </w:rPr>
      </w:pPr>
      <w:bookmarkStart w:id="46" w:name="_Toc20519"/>
      <w:r>
        <w:rPr>
          <w:rFonts w:hint="eastAsia"/>
          <w:lang w:val="en-US" w:eastAsia="zh-CN"/>
        </w:rPr>
        <w:t>7</w:t>
      </w:r>
      <w:r>
        <w:rPr>
          <w:rFonts w:hint="eastAsia" w:ascii="Arial" w:hAnsi="Arial"/>
          <w:lang w:val="en-US" w:eastAsia="zh-CN"/>
        </w:rPr>
        <w:t>.8 授权委托书</w:t>
      </w:r>
      <w:bookmarkEnd w:id="46"/>
    </w:p>
    <w:p>
      <w:pPr>
        <w:adjustRightInd w:val="0"/>
        <w:snapToGrid w:val="0"/>
        <w:rPr>
          <w:rFonts w:ascii="宋体" w:hAnsi="宋体"/>
          <w:color w:val="000000"/>
          <w:kern w:val="0"/>
          <w:sz w:val="23"/>
          <w:szCs w:val="23"/>
        </w:rPr>
      </w:pPr>
    </w:p>
    <w:p>
      <w:pPr>
        <w:pStyle w:val="10"/>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w:t>
      </w:r>
      <w:r>
        <w:rPr>
          <w:rFonts w:hint="eastAsia" w:ascii="宋体" w:hAnsi="宋体"/>
          <w:color w:val="000000"/>
          <w:sz w:val="23"/>
          <w:szCs w:val="23"/>
          <w:lang w:val="en-US" w:eastAsia="zh-CN"/>
        </w:rPr>
        <w:t xml:space="preserve">    </w:t>
      </w:r>
      <w:r>
        <w:rPr>
          <w:rFonts w:hint="eastAsia" w:ascii="宋体" w:hAnsi="宋体"/>
          <w:color w:val="000000"/>
          <w:sz w:val="23"/>
          <w:szCs w:val="23"/>
        </w:rPr>
        <w:t>年</w:t>
      </w:r>
      <w:r>
        <w:rPr>
          <w:rFonts w:hint="eastAsia" w:ascii="宋体" w:hAnsi="宋体"/>
          <w:color w:val="000000"/>
          <w:sz w:val="23"/>
          <w:szCs w:val="23"/>
          <w:lang w:val="en-US" w:eastAsia="zh-CN"/>
        </w:rPr>
        <w:t xml:space="preserve">    </w:t>
      </w:r>
      <w:r>
        <w:rPr>
          <w:rFonts w:hint="eastAsia" w:ascii="宋体" w:hAnsi="宋体"/>
          <w:color w:val="000000"/>
          <w:sz w:val="23"/>
          <w:szCs w:val="23"/>
        </w:rPr>
        <w:t>月</w:t>
      </w:r>
      <w:r>
        <w:rPr>
          <w:rFonts w:hint="eastAsia" w:ascii="宋体" w:hAnsi="宋体"/>
          <w:color w:val="000000"/>
          <w:sz w:val="23"/>
          <w:szCs w:val="23"/>
          <w:lang w:val="en-US" w:eastAsia="zh-CN"/>
        </w:rPr>
        <w:t xml:space="preserve">     </w:t>
      </w:r>
      <w:r>
        <w:rPr>
          <w:rFonts w:hint="eastAsia" w:ascii="宋体" w:hAnsi="宋体"/>
          <w:color w:val="000000"/>
          <w:sz w:val="23"/>
          <w:szCs w:val="23"/>
        </w:rPr>
        <w:t>日。</w:t>
      </w:r>
    </w:p>
    <w:tbl>
      <w:tblPr>
        <w:tblStyle w:val="18"/>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47"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47"/>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2"/>
        <w:ind w:left="0" w:leftChars="0" w:firstLine="0" w:firstLineChars="0"/>
        <w:rPr>
          <w:rStyle w:val="22"/>
          <w:rFonts w:ascii="??_GB2312" w:hAnsi="??_GB2312" w:cs="??_GB2312"/>
          <w:color w:val="000000"/>
          <w:sz w:val="32"/>
          <w:szCs w:val="32"/>
          <w:u w:val="none"/>
        </w:rPr>
      </w:pPr>
    </w:p>
    <w:p>
      <w:pPr>
        <w:pStyle w:val="2"/>
        <w:rPr>
          <w:rStyle w:val="22"/>
          <w:rFonts w:ascii="??_GB2312" w:hAnsi="??_GB2312" w:cs="??_GB2312"/>
          <w:color w:val="000000"/>
          <w:sz w:val="32"/>
          <w:szCs w:val="32"/>
          <w:u w:val="none"/>
        </w:rPr>
      </w:pPr>
    </w:p>
    <w:p>
      <w:pPr>
        <w:pStyle w:val="2"/>
        <w:rPr>
          <w:rStyle w:val="22"/>
          <w:rFonts w:ascii="??_GB2312" w:hAnsi="??_GB2312" w:cs="??_GB2312"/>
          <w:color w:val="000000"/>
          <w:sz w:val="32"/>
          <w:szCs w:val="32"/>
          <w:u w:val="none"/>
        </w:rPr>
      </w:pPr>
    </w:p>
    <w:p/>
    <w:sectPr>
      <w:footerReference r:id="rId5" w:type="default"/>
      <w:pgSz w:w="11906" w:h="16838"/>
      <w:pgMar w:top="1100" w:right="1120" w:bottom="1100" w:left="11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C0B91"/>
    <w:multiLevelType w:val="singleLevel"/>
    <w:tmpl w:val="845C0B91"/>
    <w:lvl w:ilvl="0" w:tentative="0">
      <w:start w:val="6"/>
      <w:numFmt w:val="chineseCounting"/>
      <w:suff w:val="space"/>
      <w:lvlText w:val="第%1部分"/>
      <w:lvlJc w:val="left"/>
      <w:rPr>
        <w:rFonts w:hint="eastAsia"/>
      </w:rPr>
    </w:lvl>
  </w:abstractNum>
  <w:abstractNum w:abstractNumId="1">
    <w:nsid w:val="FFAC0238"/>
    <w:multiLevelType w:val="singleLevel"/>
    <w:tmpl w:val="FFAC0238"/>
    <w:lvl w:ilvl="0" w:tentative="0">
      <w:start w:val="1"/>
      <w:numFmt w:val="decimal"/>
      <w:suff w:val="space"/>
      <w:lvlText w:val="（%1）"/>
      <w:lvlJc w:val="left"/>
    </w:lvl>
  </w:abstractNum>
  <w:abstractNum w:abstractNumId="2">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227D787"/>
    <w:multiLevelType w:val="singleLevel"/>
    <w:tmpl w:val="4227D787"/>
    <w:lvl w:ilvl="0" w:tentative="0">
      <w:start w:val="3"/>
      <w:numFmt w:val="chineseCounting"/>
      <w:suff w:val="nothing"/>
      <w:lvlText w:val="（%1）"/>
      <w:lvlJc w:val="left"/>
      <w:rPr>
        <w:rFonts w:hint="eastAsia"/>
      </w:rPr>
    </w:lvl>
  </w:abstractNum>
  <w:abstractNum w:abstractNumId="11">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97365D8"/>
    <w:multiLevelType w:val="singleLevel"/>
    <w:tmpl w:val="597365D8"/>
    <w:lvl w:ilvl="0" w:tentative="0">
      <w:start w:val="1"/>
      <w:numFmt w:val="chineseCounting"/>
      <w:suff w:val="nothing"/>
      <w:lvlText w:val="%1、"/>
      <w:lvlJc w:val="left"/>
      <w:rPr>
        <w:rFonts w:hint="eastAsia" w:cs="Times New Roman"/>
        <w:b/>
        <w:bCs/>
      </w:rPr>
    </w:lvl>
  </w:abstractNum>
  <w:abstractNum w:abstractNumId="15">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9">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10"/>
  </w:num>
  <w:num w:numId="3">
    <w:abstractNumId w:val="0"/>
  </w:num>
  <w:num w:numId="4">
    <w:abstractNumId w:val="20"/>
  </w:num>
  <w:num w:numId="5">
    <w:abstractNumId w:val="2"/>
  </w:num>
  <w:num w:numId="6">
    <w:abstractNumId w:val="9"/>
  </w:num>
  <w:num w:numId="7">
    <w:abstractNumId w:val="22"/>
  </w:num>
  <w:num w:numId="8">
    <w:abstractNumId w:val="15"/>
  </w:num>
  <w:num w:numId="9">
    <w:abstractNumId w:val="16"/>
  </w:num>
  <w:num w:numId="10">
    <w:abstractNumId w:val="5"/>
  </w:num>
  <w:num w:numId="11">
    <w:abstractNumId w:val="13"/>
  </w:num>
  <w:num w:numId="12">
    <w:abstractNumId w:val="4"/>
  </w:num>
  <w:num w:numId="13">
    <w:abstractNumId w:val="21"/>
  </w:num>
  <w:num w:numId="14">
    <w:abstractNumId w:val="11"/>
  </w:num>
  <w:num w:numId="15">
    <w:abstractNumId w:val="17"/>
  </w:num>
  <w:num w:numId="16">
    <w:abstractNumId w:val="7"/>
  </w:num>
  <w:num w:numId="17">
    <w:abstractNumId w:val="6"/>
  </w:num>
  <w:num w:numId="18">
    <w:abstractNumId w:val="19"/>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NWUyZGYyOTZjYWVkMmQ5ZTI5MGE4NGVhNDlhNjcifQ=="/>
  </w:docVars>
  <w:rsids>
    <w:rsidRoot w:val="2A1A1F6A"/>
    <w:rsid w:val="00010A49"/>
    <w:rsid w:val="00013027"/>
    <w:rsid w:val="000358B0"/>
    <w:rsid w:val="00057A8B"/>
    <w:rsid w:val="00066C1E"/>
    <w:rsid w:val="00076F70"/>
    <w:rsid w:val="00077575"/>
    <w:rsid w:val="0008030B"/>
    <w:rsid w:val="0009193E"/>
    <w:rsid w:val="000A0C9D"/>
    <w:rsid w:val="000A5D2F"/>
    <w:rsid w:val="000B0D92"/>
    <w:rsid w:val="000C5243"/>
    <w:rsid w:val="000D5F2D"/>
    <w:rsid w:val="000F0569"/>
    <w:rsid w:val="00103F13"/>
    <w:rsid w:val="00115203"/>
    <w:rsid w:val="00136EBA"/>
    <w:rsid w:val="00137788"/>
    <w:rsid w:val="00155644"/>
    <w:rsid w:val="0016008C"/>
    <w:rsid w:val="00174B8D"/>
    <w:rsid w:val="00182BBB"/>
    <w:rsid w:val="0018391D"/>
    <w:rsid w:val="00195C7F"/>
    <w:rsid w:val="001A6F9A"/>
    <w:rsid w:val="001B430B"/>
    <w:rsid w:val="001B5955"/>
    <w:rsid w:val="001C2BCB"/>
    <w:rsid w:val="00226F1B"/>
    <w:rsid w:val="00241111"/>
    <w:rsid w:val="00244123"/>
    <w:rsid w:val="00246EEF"/>
    <w:rsid w:val="002836C8"/>
    <w:rsid w:val="002C3DD4"/>
    <w:rsid w:val="002C5FB9"/>
    <w:rsid w:val="002D2223"/>
    <w:rsid w:val="002F089B"/>
    <w:rsid w:val="002F5B12"/>
    <w:rsid w:val="0030016F"/>
    <w:rsid w:val="00301371"/>
    <w:rsid w:val="0031159F"/>
    <w:rsid w:val="00323CD2"/>
    <w:rsid w:val="00350DE3"/>
    <w:rsid w:val="00374C55"/>
    <w:rsid w:val="0039093D"/>
    <w:rsid w:val="003A4685"/>
    <w:rsid w:val="003B5CEA"/>
    <w:rsid w:val="004049C9"/>
    <w:rsid w:val="00461B3E"/>
    <w:rsid w:val="00471F19"/>
    <w:rsid w:val="004955F9"/>
    <w:rsid w:val="004A58EB"/>
    <w:rsid w:val="004C734C"/>
    <w:rsid w:val="00534DB1"/>
    <w:rsid w:val="00546E75"/>
    <w:rsid w:val="00552895"/>
    <w:rsid w:val="00563024"/>
    <w:rsid w:val="00570F33"/>
    <w:rsid w:val="0057363D"/>
    <w:rsid w:val="00583E80"/>
    <w:rsid w:val="006127C1"/>
    <w:rsid w:val="00621DEA"/>
    <w:rsid w:val="0063265D"/>
    <w:rsid w:val="00651553"/>
    <w:rsid w:val="00674D75"/>
    <w:rsid w:val="00676E2E"/>
    <w:rsid w:val="00693489"/>
    <w:rsid w:val="006E77D5"/>
    <w:rsid w:val="00706D68"/>
    <w:rsid w:val="007117EA"/>
    <w:rsid w:val="00731A50"/>
    <w:rsid w:val="00737DD2"/>
    <w:rsid w:val="00771CB8"/>
    <w:rsid w:val="00776647"/>
    <w:rsid w:val="007823AF"/>
    <w:rsid w:val="007A66D2"/>
    <w:rsid w:val="007C564F"/>
    <w:rsid w:val="007D0AC4"/>
    <w:rsid w:val="007D3441"/>
    <w:rsid w:val="007E779E"/>
    <w:rsid w:val="007F511E"/>
    <w:rsid w:val="008119BF"/>
    <w:rsid w:val="0081301C"/>
    <w:rsid w:val="008175C1"/>
    <w:rsid w:val="0083743D"/>
    <w:rsid w:val="008421C7"/>
    <w:rsid w:val="00843583"/>
    <w:rsid w:val="008626C3"/>
    <w:rsid w:val="00876791"/>
    <w:rsid w:val="00891496"/>
    <w:rsid w:val="00892B09"/>
    <w:rsid w:val="008B363C"/>
    <w:rsid w:val="008B6A4C"/>
    <w:rsid w:val="008D098D"/>
    <w:rsid w:val="008D1F80"/>
    <w:rsid w:val="008E07E3"/>
    <w:rsid w:val="008F4816"/>
    <w:rsid w:val="00905213"/>
    <w:rsid w:val="00925A08"/>
    <w:rsid w:val="00927B07"/>
    <w:rsid w:val="00973829"/>
    <w:rsid w:val="00977E09"/>
    <w:rsid w:val="009A186A"/>
    <w:rsid w:val="009B1812"/>
    <w:rsid w:val="009D623F"/>
    <w:rsid w:val="009E445F"/>
    <w:rsid w:val="00A03F27"/>
    <w:rsid w:val="00A23294"/>
    <w:rsid w:val="00A3493A"/>
    <w:rsid w:val="00A47AAA"/>
    <w:rsid w:val="00A6519E"/>
    <w:rsid w:val="00A662EF"/>
    <w:rsid w:val="00A82742"/>
    <w:rsid w:val="00A87CBF"/>
    <w:rsid w:val="00A93B17"/>
    <w:rsid w:val="00A94B97"/>
    <w:rsid w:val="00A94C7B"/>
    <w:rsid w:val="00AB03BA"/>
    <w:rsid w:val="00AB0F6C"/>
    <w:rsid w:val="00AC35D7"/>
    <w:rsid w:val="00AE1F48"/>
    <w:rsid w:val="00AF50CC"/>
    <w:rsid w:val="00B05184"/>
    <w:rsid w:val="00B54F06"/>
    <w:rsid w:val="00B70938"/>
    <w:rsid w:val="00B729B3"/>
    <w:rsid w:val="00BF0973"/>
    <w:rsid w:val="00C23F13"/>
    <w:rsid w:val="00C32EFF"/>
    <w:rsid w:val="00C337BF"/>
    <w:rsid w:val="00C47801"/>
    <w:rsid w:val="00C7760D"/>
    <w:rsid w:val="00C95946"/>
    <w:rsid w:val="00CA2004"/>
    <w:rsid w:val="00CA357A"/>
    <w:rsid w:val="00CF4E63"/>
    <w:rsid w:val="00D26C28"/>
    <w:rsid w:val="00D3339C"/>
    <w:rsid w:val="00D605AE"/>
    <w:rsid w:val="00D60BCE"/>
    <w:rsid w:val="00D62348"/>
    <w:rsid w:val="00D72B51"/>
    <w:rsid w:val="00D821C6"/>
    <w:rsid w:val="00DA6AD2"/>
    <w:rsid w:val="00DA6FBB"/>
    <w:rsid w:val="00DB78E6"/>
    <w:rsid w:val="00DF01AF"/>
    <w:rsid w:val="00E130FB"/>
    <w:rsid w:val="00E42879"/>
    <w:rsid w:val="00EC7073"/>
    <w:rsid w:val="00F11E4E"/>
    <w:rsid w:val="00F3392D"/>
    <w:rsid w:val="00F4510D"/>
    <w:rsid w:val="00F45768"/>
    <w:rsid w:val="00F47613"/>
    <w:rsid w:val="00F67EE8"/>
    <w:rsid w:val="00F9617C"/>
    <w:rsid w:val="00FA09D5"/>
    <w:rsid w:val="00FB366F"/>
    <w:rsid w:val="00FB7337"/>
    <w:rsid w:val="00FD6AD0"/>
    <w:rsid w:val="00FE1704"/>
    <w:rsid w:val="00FF1AE6"/>
    <w:rsid w:val="00FF3746"/>
    <w:rsid w:val="01313220"/>
    <w:rsid w:val="01B5059A"/>
    <w:rsid w:val="02654D76"/>
    <w:rsid w:val="030C06C9"/>
    <w:rsid w:val="033D7C7C"/>
    <w:rsid w:val="03A666F3"/>
    <w:rsid w:val="03F40EDB"/>
    <w:rsid w:val="05421D44"/>
    <w:rsid w:val="055E4967"/>
    <w:rsid w:val="06315769"/>
    <w:rsid w:val="06E94F16"/>
    <w:rsid w:val="07062CAA"/>
    <w:rsid w:val="074B1659"/>
    <w:rsid w:val="0926412B"/>
    <w:rsid w:val="09305B0A"/>
    <w:rsid w:val="09FC0BB7"/>
    <w:rsid w:val="0B1C7AC1"/>
    <w:rsid w:val="0B723658"/>
    <w:rsid w:val="0B936FEC"/>
    <w:rsid w:val="0BDE7BE7"/>
    <w:rsid w:val="0C362AE8"/>
    <w:rsid w:val="0D4813C3"/>
    <w:rsid w:val="0DA258E1"/>
    <w:rsid w:val="0E303356"/>
    <w:rsid w:val="100205D1"/>
    <w:rsid w:val="10287D6F"/>
    <w:rsid w:val="103470B4"/>
    <w:rsid w:val="104F3D63"/>
    <w:rsid w:val="108B7898"/>
    <w:rsid w:val="11B43BE7"/>
    <w:rsid w:val="1200532C"/>
    <w:rsid w:val="129D279A"/>
    <w:rsid w:val="131A358D"/>
    <w:rsid w:val="13CF676E"/>
    <w:rsid w:val="1406017A"/>
    <w:rsid w:val="14DC6F19"/>
    <w:rsid w:val="14F50C4E"/>
    <w:rsid w:val="151A0FBD"/>
    <w:rsid w:val="152809A3"/>
    <w:rsid w:val="1559023A"/>
    <w:rsid w:val="158D56E9"/>
    <w:rsid w:val="1726263E"/>
    <w:rsid w:val="172C187A"/>
    <w:rsid w:val="177B1949"/>
    <w:rsid w:val="1785421E"/>
    <w:rsid w:val="17A44406"/>
    <w:rsid w:val="17B11F7E"/>
    <w:rsid w:val="18153DC5"/>
    <w:rsid w:val="183C5D42"/>
    <w:rsid w:val="18437AC7"/>
    <w:rsid w:val="18D2417B"/>
    <w:rsid w:val="19121F9B"/>
    <w:rsid w:val="198610DE"/>
    <w:rsid w:val="19940600"/>
    <w:rsid w:val="19977B4A"/>
    <w:rsid w:val="19AF4679"/>
    <w:rsid w:val="1A7755BB"/>
    <w:rsid w:val="1A88677D"/>
    <w:rsid w:val="1AAA7AF6"/>
    <w:rsid w:val="1B3C101B"/>
    <w:rsid w:val="1B8E0024"/>
    <w:rsid w:val="1B93536E"/>
    <w:rsid w:val="1C031AED"/>
    <w:rsid w:val="1C9108C5"/>
    <w:rsid w:val="1CF067D9"/>
    <w:rsid w:val="1D5105B7"/>
    <w:rsid w:val="1D516158"/>
    <w:rsid w:val="1D964ABA"/>
    <w:rsid w:val="1E297001"/>
    <w:rsid w:val="1E625692"/>
    <w:rsid w:val="1E957931"/>
    <w:rsid w:val="1F765E24"/>
    <w:rsid w:val="1F7C0A2F"/>
    <w:rsid w:val="1FC90540"/>
    <w:rsid w:val="1FF371AD"/>
    <w:rsid w:val="21326BFD"/>
    <w:rsid w:val="225E7715"/>
    <w:rsid w:val="229F361C"/>
    <w:rsid w:val="22BE570A"/>
    <w:rsid w:val="22C02CAA"/>
    <w:rsid w:val="23AA5481"/>
    <w:rsid w:val="248A5117"/>
    <w:rsid w:val="25CD35CE"/>
    <w:rsid w:val="25DD64BC"/>
    <w:rsid w:val="260B21BC"/>
    <w:rsid w:val="26CD2098"/>
    <w:rsid w:val="272208EE"/>
    <w:rsid w:val="27755876"/>
    <w:rsid w:val="27CD40EE"/>
    <w:rsid w:val="27FC4BBB"/>
    <w:rsid w:val="289C5A27"/>
    <w:rsid w:val="28F46B84"/>
    <w:rsid w:val="2A1A1F6A"/>
    <w:rsid w:val="2A6721C3"/>
    <w:rsid w:val="2B1F0911"/>
    <w:rsid w:val="2B326F4B"/>
    <w:rsid w:val="2C494F99"/>
    <w:rsid w:val="2C580784"/>
    <w:rsid w:val="2CC80A91"/>
    <w:rsid w:val="2CE04282"/>
    <w:rsid w:val="2DDF7A47"/>
    <w:rsid w:val="2DFD4181"/>
    <w:rsid w:val="30E847DA"/>
    <w:rsid w:val="32BB3C56"/>
    <w:rsid w:val="32FD08A5"/>
    <w:rsid w:val="338C505F"/>
    <w:rsid w:val="347F6474"/>
    <w:rsid w:val="36017D80"/>
    <w:rsid w:val="36370A6E"/>
    <w:rsid w:val="375971A1"/>
    <w:rsid w:val="375C4AF6"/>
    <w:rsid w:val="376C012A"/>
    <w:rsid w:val="38183D89"/>
    <w:rsid w:val="38343DA1"/>
    <w:rsid w:val="389828E6"/>
    <w:rsid w:val="38D17207"/>
    <w:rsid w:val="39111A86"/>
    <w:rsid w:val="39286D61"/>
    <w:rsid w:val="394970FA"/>
    <w:rsid w:val="396832BC"/>
    <w:rsid w:val="3A1551D6"/>
    <w:rsid w:val="3A577D39"/>
    <w:rsid w:val="3B014227"/>
    <w:rsid w:val="3B1C0F0C"/>
    <w:rsid w:val="3B3D1B63"/>
    <w:rsid w:val="3B952AE3"/>
    <w:rsid w:val="3BB44539"/>
    <w:rsid w:val="3C067E6D"/>
    <w:rsid w:val="3C0B217D"/>
    <w:rsid w:val="3C0C19D2"/>
    <w:rsid w:val="3C216CE6"/>
    <w:rsid w:val="3C227B20"/>
    <w:rsid w:val="3C4A5B4F"/>
    <w:rsid w:val="3D3673FA"/>
    <w:rsid w:val="3DAA3183"/>
    <w:rsid w:val="3DBF0037"/>
    <w:rsid w:val="3E4B1B56"/>
    <w:rsid w:val="401F2A29"/>
    <w:rsid w:val="40495E44"/>
    <w:rsid w:val="40AF0FD0"/>
    <w:rsid w:val="40E92509"/>
    <w:rsid w:val="41A26485"/>
    <w:rsid w:val="4232459E"/>
    <w:rsid w:val="42A45831"/>
    <w:rsid w:val="430B3F33"/>
    <w:rsid w:val="4368566B"/>
    <w:rsid w:val="439A27B8"/>
    <w:rsid w:val="444F0682"/>
    <w:rsid w:val="44AD6E08"/>
    <w:rsid w:val="44AE37CC"/>
    <w:rsid w:val="44F73E61"/>
    <w:rsid w:val="46593785"/>
    <w:rsid w:val="468109A5"/>
    <w:rsid w:val="46B94A61"/>
    <w:rsid w:val="46C364C8"/>
    <w:rsid w:val="480257F6"/>
    <w:rsid w:val="4839282C"/>
    <w:rsid w:val="489265D6"/>
    <w:rsid w:val="48EE2DB9"/>
    <w:rsid w:val="491A7CC5"/>
    <w:rsid w:val="491D64E5"/>
    <w:rsid w:val="49C854E1"/>
    <w:rsid w:val="4A280DAA"/>
    <w:rsid w:val="4AE16107"/>
    <w:rsid w:val="4C1C493F"/>
    <w:rsid w:val="4C543771"/>
    <w:rsid w:val="4C6F5657"/>
    <w:rsid w:val="4D866470"/>
    <w:rsid w:val="4F1405C4"/>
    <w:rsid w:val="4F36269D"/>
    <w:rsid w:val="4F7528B0"/>
    <w:rsid w:val="50830857"/>
    <w:rsid w:val="514F4D01"/>
    <w:rsid w:val="515A2C55"/>
    <w:rsid w:val="51EB769A"/>
    <w:rsid w:val="52FF31D6"/>
    <w:rsid w:val="53352459"/>
    <w:rsid w:val="541879C0"/>
    <w:rsid w:val="54A1148F"/>
    <w:rsid w:val="55061307"/>
    <w:rsid w:val="555D4CA7"/>
    <w:rsid w:val="557D32AA"/>
    <w:rsid w:val="56C64A5D"/>
    <w:rsid w:val="57C45DBE"/>
    <w:rsid w:val="581E00B3"/>
    <w:rsid w:val="584B2F5B"/>
    <w:rsid w:val="58B32CF0"/>
    <w:rsid w:val="592573B9"/>
    <w:rsid w:val="5B556250"/>
    <w:rsid w:val="5B620C17"/>
    <w:rsid w:val="5BD42671"/>
    <w:rsid w:val="5BDB5E54"/>
    <w:rsid w:val="5BF477C7"/>
    <w:rsid w:val="5C120B7E"/>
    <w:rsid w:val="5C93124C"/>
    <w:rsid w:val="5D2673CB"/>
    <w:rsid w:val="5E192A8C"/>
    <w:rsid w:val="5EEE6B62"/>
    <w:rsid w:val="5F84325E"/>
    <w:rsid w:val="5FC250C6"/>
    <w:rsid w:val="600502D7"/>
    <w:rsid w:val="60905FBC"/>
    <w:rsid w:val="60D63156"/>
    <w:rsid w:val="619C7421"/>
    <w:rsid w:val="61E65141"/>
    <w:rsid w:val="62715045"/>
    <w:rsid w:val="62F15CC4"/>
    <w:rsid w:val="63027BF9"/>
    <w:rsid w:val="634F520A"/>
    <w:rsid w:val="640D45CB"/>
    <w:rsid w:val="642135DA"/>
    <w:rsid w:val="647730C7"/>
    <w:rsid w:val="64B41760"/>
    <w:rsid w:val="65A541E8"/>
    <w:rsid w:val="6709566F"/>
    <w:rsid w:val="67342B59"/>
    <w:rsid w:val="675E3F83"/>
    <w:rsid w:val="68017CA7"/>
    <w:rsid w:val="680C7A63"/>
    <w:rsid w:val="680E47DE"/>
    <w:rsid w:val="68163D23"/>
    <w:rsid w:val="681C5897"/>
    <w:rsid w:val="68F6075C"/>
    <w:rsid w:val="691B4C3C"/>
    <w:rsid w:val="6A7232FC"/>
    <w:rsid w:val="6A777842"/>
    <w:rsid w:val="6AD35550"/>
    <w:rsid w:val="6B134E97"/>
    <w:rsid w:val="6B173314"/>
    <w:rsid w:val="6B5D0BFE"/>
    <w:rsid w:val="6B8B73B9"/>
    <w:rsid w:val="6BAA7A16"/>
    <w:rsid w:val="6BD312C9"/>
    <w:rsid w:val="6CCC77CB"/>
    <w:rsid w:val="6D147240"/>
    <w:rsid w:val="6D5B09CB"/>
    <w:rsid w:val="6DB51EA6"/>
    <w:rsid w:val="6E2019FD"/>
    <w:rsid w:val="6E967046"/>
    <w:rsid w:val="6E9C573F"/>
    <w:rsid w:val="6EA71CAD"/>
    <w:rsid w:val="6EE81A35"/>
    <w:rsid w:val="6F121DF9"/>
    <w:rsid w:val="6F351AF0"/>
    <w:rsid w:val="70B72EBD"/>
    <w:rsid w:val="70E8600D"/>
    <w:rsid w:val="715B6737"/>
    <w:rsid w:val="71AD33DB"/>
    <w:rsid w:val="72056069"/>
    <w:rsid w:val="72175614"/>
    <w:rsid w:val="723948DB"/>
    <w:rsid w:val="72544CF5"/>
    <w:rsid w:val="72983D29"/>
    <w:rsid w:val="72C62D8B"/>
    <w:rsid w:val="73967C24"/>
    <w:rsid w:val="74073E5E"/>
    <w:rsid w:val="74402295"/>
    <w:rsid w:val="74B20B30"/>
    <w:rsid w:val="74FB4B23"/>
    <w:rsid w:val="768E08B2"/>
    <w:rsid w:val="770B085A"/>
    <w:rsid w:val="776E579F"/>
    <w:rsid w:val="78B6544A"/>
    <w:rsid w:val="78C40538"/>
    <w:rsid w:val="78F9164A"/>
    <w:rsid w:val="79142376"/>
    <w:rsid w:val="794269AC"/>
    <w:rsid w:val="79B9417A"/>
    <w:rsid w:val="7A79790D"/>
    <w:rsid w:val="7A964B80"/>
    <w:rsid w:val="7ABA10C7"/>
    <w:rsid w:val="7AC05BF7"/>
    <w:rsid w:val="7B462419"/>
    <w:rsid w:val="7BAD22FB"/>
    <w:rsid w:val="7C3B3049"/>
    <w:rsid w:val="7C9672B6"/>
    <w:rsid w:val="7CA67D0F"/>
    <w:rsid w:val="7D11277F"/>
    <w:rsid w:val="7DD31675"/>
    <w:rsid w:val="7E162034"/>
    <w:rsid w:val="7EA16AE8"/>
    <w:rsid w:val="7EDE76AE"/>
    <w:rsid w:val="7F2D2760"/>
    <w:rsid w:val="7F2D51A6"/>
    <w:rsid w:val="7F720B0D"/>
    <w:rsid w:val="7F9B47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24"/>
    <w:qFormat/>
    <w:uiPriority w:val="99"/>
    <w:pPr>
      <w:keepNext/>
      <w:tabs>
        <w:tab w:val="left" w:pos="3420"/>
      </w:tabs>
      <w:ind w:left="3420" w:hanging="720"/>
      <w:jc w:val="center"/>
      <w:outlineLvl w:val="0"/>
    </w:pPr>
    <w:rPr>
      <w:rFonts w:eastAsia="黑体"/>
      <w:sz w:val="36"/>
      <w:szCs w:val="20"/>
    </w:rPr>
  </w:style>
  <w:style w:type="paragraph" w:styleId="5">
    <w:name w:val="heading 2"/>
    <w:basedOn w:val="1"/>
    <w:next w:val="1"/>
    <w:qFormat/>
    <w:locked/>
    <w:uiPriority w:val="0"/>
    <w:pPr>
      <w:keepNext/>
      <w:keepLines/>
      <w:spacing w:before="260" w:after="260" w:line="240" w:lineRule="atLeast"/>
      <w:jc w:val="left"/>
      <w:outlineLvl w:val="1"/>
    </w:pPr>
    <w:rPr>
      <w:rFonts w:ascii="Arial" w:hAnsi="Arial"/>
      <w:sz w:val="24"/>
    </w:rPr>
  </w:style>
  <w:style w:type="paragraph" w:styleId="6">
    <w:name w:val="heading 3"/>
    <w:basedOn w:val="1"/>
    <w:next w:val="1"/>
    <w:link w:val="25"/>
    <w:qFormat/>
    <w:uiPriority w:val="99"/>
    <w:pPr>
      <w:keepNext/>
      <w:keepLines/>
      <w:spacing w:before="260" w:after="260" w:line="413" w:lineRule="auto"/>
      <w:outlineLvl w:val="2"/>
    </w:pPr>
    <w:rPr>
      <w:b/>
      <w:bCs/>
      <w:sz w:val="32"/>
      <w:szCs w:val="32"/>
    </w:rPr>
  </w:style>
  <w:style w:type="paragraph" w:styleId="7">
    <w:name w:val="heading 4"/>
    <w:basedOn w:val="1"/>
    <w:next w:val="1"/>
    <w:link w:val="26"/>
    <w:qFormat/>
    <w:uiPriority w:val="99"/>
    <w:pPr>
      <w:keepNext/>
      <w:keepLines/>
      <w:spacing w:before="280" w:after="290" w:line="372"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Title"/>
    <w:basedOn w:val="1"/>
    <w:link w:val="28"/>
    <w:qFormat/>
    <w:uiPriority w:val="99"/>
    <w:pPr>
      <w:spacing w:before="240" w:after="60"/>
      <w:jc w:val="center"/>
      <w:outlineLvl w:val="0"/>
    </w:pPr>
    <w:rPr>
      <w:rFonts w:ascii="Arial" w:hAnsi="Arial" w:eastAsia="黑体" w:cs="Arial"/>
      <w:b/>
      <w:bCs/>
      <w:sz w:val="36"/>
      <w:szCs w:val="32"/>
    </w:rPr>
  </w:style>
  <w:style w:type="paragraph" w:styleId="8">
    <w:name w:val="annotation text"/>
    <w:basedOn w:val="1"/>
    <w:link w:val="31"/>
    <w:semiHidden/>
    <w:unhideWhenUsed/>
    <w:qFormat/>
    <w:locked/>
    <w:uiPriority w:val="99"/>
    <w:pPr>
      <w:jc w:val="left"/>
    </w:pPr>
  </w:style>
  <w:style w:type="paragraph" w:styleId="9">
    <w:name w:val="Body Text Indent"/>
    <w:basedOn w:val="1"/>
    <w:link w:val="27"/>
    <w:qFormat/>
    <w:uiPriority w:val="99"/>
    <w:pPr>
      <w:autoSpaceDE w:val="0"/>
      <w:autoSpaceDN w:val="0"/>
      <w:adjustRightInd w:val="0"/>
      <w:spacing w:line="480" w:lineRule="exact"/>
      <w:ind w:firstLine="540"/>
      <w:jc w:val="left"/>
    </w:pPr>
    <w:rPr>
      <w:rFonts w:ascii="宋体"/>
      <w:kern w:val="0"/>
      <w:sz w:val="24"/>
      <w:szCs w:val="20"/>
      <w:lang w:bidi="he-IL"/>
    </w:rPr>
  </w:style>
  <w:style w:type="paragraph" w:styleId="10">
    <w:name w:val="Plain Text"/>
    <w:basedOn w:val="1"/>
    <w:qFormat/>
    <w:locked/>
    <w:uiPriority w:val="0"/>
    <w:rPr>
      <w:rFonts w:ascii="宋体" w:hAnsi="Courier New" w:cstheme="minorBidi"/>
    </w:rPr>
  </w:style>
  <w:style w:type="paragraph" w:styleId="11">
    <w:name w:val="Balloon Text"/>
    <w:basedOn w:val="1"/>
    <w:link w:val="30"/>
    <w:semiHidden/>
    <w:unhideWhenUsed/>
    <w:qFormat/>
    <w:locked/>
    <w:uiPriority w:val="99"/>
    <w:rPr>
      <w:sz w:val="18"/>
      <w:szCs w:val="18"/>
    </w:rPr>
  </w:style>
  <w:style w:type="paragraph" w:styleId="12">
    <w:name w:val="footer"/>
    <w:basedOn w:val="1"/>
    <w:unhideWhenUsed/>
    <w:qFormat/>
    <w:locked/>
    <w:uiPriority w:val="99"/>
    <w:pPr>
      <w:tabs>
        <w:tab w:val="center" w:pos="4153"/>
        <w:tab w:val="right" w:pos="8306"/>
      </w:tabs>
      <w:snapToGrid w:val="0"/>
      <w:jc w:val="left"/>
    </w:pPr>
    <w:rPr>
      <w:sz w:val="18"/>
    </w:rPr>
  </w:style>
  <w:style w:type="paragraph" w:styleId="13">
    <w:name w:val="header"/>
    <w:basedOn w:val="1"/>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99"/>
    <w:pPr>
      <w:tabs>
        <w:tab w:val="right" w:leader="dot" w:pos="8380"/>
      </w:tabs>
    </w:pPr>
    <w:rPr>
      <w:rFonts w:ascii="宋体" w:hAnsi="宋体"/>
      <w:b/>
      <w:sz w:val="28"/>
      <w:szCs w:val="28"/>
      <w:lang w:val="zh-CN"/>
    </w:rPr>
  </w:style>
  <w:style w:type="paragraph" w:styleId="15">
    <w:name w:val="toc 2"/>
    <w:basedOn w:val="1"/>
    <w:next w:val="1"/>
    <w:qFormat/>
    <w:uiPriority w:val="99"/>
    <w:pPr>
      <w:tabs>
        <w:tab w:val="right" w:leader="dot" w:pos="8380"/>
      </w:tabs>
      <w:ind w:left="420" w:leftChars="200"/>
      <w:jc w:val="center"/>
    </w:pPr>
    <w:rPr>
      <w:rFonts w:ascii="宋体" w:hAnsi="宋体"/>
      <w:b/>
      <w:sz w:val="44"/>
      <w:szCs w:val="44"/>
      <w:lang w:val="zh-CN"/>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8"/>
    <w:next w:val="8"/>
    <w:link w:val="32"/>
    <w:semiHidden/>
    <w:unhideWhenUsed/>
    <w:qFormat/>
    <w:locked/>
    <w:uiPriority w:val="99"/>
    <w:rPr>
      <w:b/>
      <w:bCs/>
    </w:rPr>
  </w:style>
  <w:style w:type="table" w:styleId="19">
    <w:name w:val="Table Grid"/>
    <w:basedOn w:val="1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Hyperlink"/>
    <w:basedOn w:val="20"/>
    <w:qFormat/>
    <w:uiPriority w:val="99"/>
    <w:rPr>
      <w:rFonts w:cs="Times New Roman"/>
      <w:color w:val="0000FF"/>
      <w:u w:val="single"/>
    </w:rPr>
  </w:style>
  <w:style w:type="character" w:styleId="23">
    <w:name w:val="annotation reference"/>
    <w:basedOn w:val="20"/>
    <w:qFormat/>
    <w:uiPriority w:val="99"/>
    <w:rPr>
      <w:rFonts w:cs="Times New Roman"/>
      <w:sz w:val="21"/>
      <w:szCs w:val="21"/>
    </w:rPr>
  </w:style>
  <w:style w:type="character" w:customStyle="1" w:styleId="24">
    <w:name w:val="标题 1 字符"/>
    <w:basedOn w:val="20"/>
    <w:link w:val="3"/>
    <w:qFormat/>
    <w:locked/>
    <w:uiPriority w:val="99"/>
    <w:rPr>
      <w:rFonts w:cs="Times New Roman"/>
      <w:b/>
      <w:bCs/>
      <w:kern w:val="44"/>
      <w:sz w:val="44"/>
      <w:szCs w:val="44"/>
    </w:rPr>
  </w:style>
  <w:style w:type="character" w:customStyle="1" w:styleId="25">
    <w:name w:val="标题 3 字符"/>
    <w:basedOn w:val="20"/>
    <w:link w:val="6"/>
    <w:semiHidden/>
    <w:qFormat/>
    <w:locked/>
    <w:uiPriority w:val="99"/>
    <w:rPr>
      <w:rFonts w:cs="Times New Roman"/>
      <w:b/>
      <w:bCs/>
      <w:sz w:val="32"/>
      <w:szCs w:val="32"/>
    </w:rPr>
  </w:style>
  <w:style w:type="character" w:customStyle="1" w:styleId="26">
    <w:name w:val="标题 4 字符"/>
    <w:basedOn w:val="20"/>
    <w:link w:val="7"/>
    <w:semiHidden/>
    <w:qFormat/>
    <w:locked/>
    <w:uiPriority w:val="99"/>
    <w:rPr>
      <w:rFonts w:ascii="Cambria" w:hAnsi="Cambria" w:eastAsia="宋体" w:cs="Times New Roman"/>
      <w:b/>
      <w:bCs/>
      <w:sz w:val="28"/>
      <w:szCs w:val="28"/>
    </w:rPr>
  </w:style>
  <w:style w:type="character" w:customStyle="1" w:styleId="27">
    <w:name w:val="正文文本缩进 字符"/>
    <w:basedOn w:val="20"/>
    <w:link w:val="9"/>
    <w:qFormat/>
    <w:locked/>
    <w:uiPriority w:val="99"/>
    <w:rPr>
      <w:rFonts w:ascii="宋体" w:cs="Times New Roman"/>
      <w:sz w:val="24"/>
      <w:lang w:bidi="he-IL"/>
    </w:rPr>
  </w:style>
  <w:style w:type="character" w:customStyle="1" w:styleId="28">
    <w:name w:val="标题 字符"/>
    <w:basedOn w:val="20"/>
    <w:link w:val="4"/>
    <w:qFormat/>
    <w:locked/>
    <w:uiPriority w:val="99"/>
    <w:rPr>
      <w:rFonts w:ascii="Cambria" w:hAnsi="Cambria" w:cs="Times New Roman"/>
      <w:b/>
      <w:bCs/>
      <w:sz w:val="32"/>
      <w:szCs w:val="32"/>
    </w:rPr>
  </w:style>
  <w:style w:type="paragraph" w:styleId="29">
    <w:name w:val="List Paragraph"/>
    <w:basedOn w:val="1"/>
    <w:qFormat/>
    <w:uiPriority w:val="34"/>
    <w:pPr>
      <w:ind w:firstLine="420" w:firstLineChars="200"/>
    </w:pPr>
  </w:style>
  <w:style w:type="character" w:customStyle="1" w:styleId="30">
    <w:name w:val="批注框文本 字符"/>
    <w:basedOn w:val="20"/>
    <w:link w:val="11"/>
    <w:semiHidden/>
    <w:qFormat/>
    <w:uiPriority w:val="99"/>
    <w:rPr>
      <w:kern w:val="2"/>
      <w:sz w:val="18"/>
      <w:szCs w:val="18"/>
    </w:rPr>
  </w:style>
  <w:style w:type="character" w:customStyle="1" w:styleId="31">
    <w:name w:val="批注文字 字符"/>
    <w:basedOn w:val="20"/>
    <w:link w:val="8"/>
    <w:semiHidden/>
    <w:qFormat/>
    <w:uiPriority w:val="99"/>
    <w:rPr>
      <w:kern w:val="2"/>
      <w:sz w:val="21"/>
      <w:szCs w:val="24"/>
    </w:rPr>
  </w:style>
  <w:style w:type="character" w:customStyle="1" w:styleId="32">
    <w:name w:val="批注主题 字符"/>
    <w:basedOn w:val="31"/>
    <w:link w:val="17"/>
    <w:semiHidden/>
    <w:qFormat/>
    <w:uiPriority w:val="99"/>
    <w:rPr>
      <w:b/>
      <w:bCs/>
      <w:kern w:val="2"/>
      <w:sz w:val="21"/>
      <w:szCs w:val="24"/>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列出段落2"/>
    <w:basedOn w:val="1"/>
    <w:qFormat/>
    <w:uiPriority w:val="0"/>
    <w:pPr>
      <w:ind w:firstLine="420" w:firstLineChars="200"/>
    </w:pPr>
    <w:rPr>
      <w:rFonts w:ascii="Calibri" w:hAnsi="Calibri" w:eastAsia="宋体" w:cs="Times New Roman"/>
      <w:szCs w:val="24"/>
    </w:rPr>
  </w:style>
  <w:style w:type="paragraph" w:customStyle="1" w:styleId="3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B55D5-45A3-4722-A1B1-E7E08A98D5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14227</Words>
  <Characters>14731</Characters>
  <Lines>49</Lines>
  <Paragraphs>14</Paragraphs>
  <TotalTime>10</TotalTime>
  <ScaleCrop>false</ScaleCrop>
  <LinksUpToDate>false</LinksUpToDate>
  <CharactersWithSpaces>15923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2022-03-22T08:09:00Z</dcterms:created>
  <dc:creator>lenovo</dc:creator>
  <cp:lastModifiedBy>Administrator</cp:lastModifiedBy>
  <cp:lastPrinted>2022-03-28T08:30:00Z</cp:lastPrinted>
  <dcterms:modified xsi:type="dcterms:W3CDTF">2022-12-27T07:50:53Z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22FC1C80B7D442449676AF1C4CB95B63</vt:lpwstr>
  </property>
</Properties>
</file>