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000000"/>
          <w:sz w:val="52"/>
          <w:szCs w:val="52"/>
        </w:rPr>
      </w:pPr>
      <w:r>
        <w:rPr>
          <w:rFonts w:hint="eastAsia" w:ascii="黑体" w:eastAsia="黑体"/>
          <w:b/>
          <w:color w:val="000000"/>
          <w:sz w:val="52"/>
          <w:szCs w:val="52"/>
        </w:rPr>
        <w:t>佛山三水校区高压电气设备维护保养服务项目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佛山三水校区后勤办 编制</w:t>
      </w:r>
    </w:p>
    <w:p>
      <w:pPr>
        <w:adjustRightInd w:val="0"/>
        <w:snapToGrid w:val="0"/>
        <w:spacing w:line="500" w:lineRule="exact"/>
        <w:jc w:val="center"/>
        <w:rPr>
          <w:sz w:val="23"/>
          <w:szCs w:val="23"/>
        </w:rPr>
      </w:pPr>
      <w:r>
        <w:rPr>
          <w:rFonts w:hint="eastAsia" w:ascii="宋体" w:hAnsi="宋体"/>
          <w:color w:val="000000"/>
          <w:sz w:val="32"/>
          <w:szCs w:val="32"/>
        </w:rPr>
        <w:t>2019</w:t>
      </w:r>
      <w:r>
        <w:rPr>
          <w:rFonts w:ascii="宋体" w:hAnsi="宋体"/>
          <w:color w:val="000000"/>
          <w:sz w:val="32"/>
          <w:szCs w:val="32"/>
        </w:rPr>
        <w:t>年</w:t>
      </w:r>
      <w:r>
        <w:rPr>
          <w:rFonts w:hint="eastAsia" w:ascii="宋体" w:hAnsi="宋体"/>
          <w:color w:val="000000"/>
          <w:sz w:val="32"/>
          <w:szCs w:val="32"/>
        </w:rPr>
        <w:t>12</w:t>
      </w:r>
      <w:r>
        <w:rPr>
          <w:rFonts w:ascii="宋体" w:hAnsi="宋体"/>
          <w:color w:val="000000"/>
          <w:sz w:val="32"/>
          <w:szCs w:val="32"/>
        </w:rPr>
        <w:t>月</w:t>
      </w:r>
      <w:r>
        <w:rPr>
          <w:rFonts w:hint="eastAsia" w:ascii="宋体" w:hAnsi="宋体"/>
          <w:color w:val="000000"/>
          <w:sz w:val="32"/>
          <w:szCs w:val="32"/>
        </w:rPr>
        <w:t>19 日  发布</w:t>
      </w:r>
      <w:r>
        <w:rPr>
          <w:rFonts w:ascii="宋体" w:hAnsi="宋体"/>
          <w:color w:val="000000"/>
          <w:sz w:val="23"/>
          <w:szCs w:val="23"/>
        </w:rPr>
        <w:br w:type="column"/>
      </w:r>
      <w:r>
        <w:rPr>
          <w:rFonts w:hint="eastAsia"/>
          <w:b/>
          <w:sz w:val="32"/>
          <w:szCs w:val="23"/>
        </w:rPr>
        <w:t>温馨提示</w:t>
      </w:r>
    </w:p>
    <w:p>
      <w:pPr>
        <w:pStyle w:val="90"/>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15</w:t>
      </w:r>
      <w:r>
        <w:rPr>
          <w:rFonts w:hint="eastAsia" w:ascii="宋体" w:hAnsi="宋体" w:eastAsia="宋体" w:cs="Times New Roman"/>
          <w:sz w:val="24"/>
          <w:szCs w:val="23"/>
        </w:rPr>
        <w:t>页“3.3.5.1”条款及“3.3.5.2”条款要求投标人所提交的投标文件须</w:t>
      </w:r>
      <w:r>
        <w:rPr>
          <w:rFonts w:hint="eastAsia" w:ascii="宋体" w:hAnsi="宋体" w:eastAsia="宋体" w:cs="Times New Roman"/>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sz w:val="24"/>
          <w:szCs w:val="23"/>
          <w:u w:val="single"/>
        </w:rPr>
        <w:t>“正本”或“副本”</w:t>
      </w:r>
      <w:r>
        <w:rPr>
          <w:rFonts w:hint="eastAsia" w:ascii="宋体" w:hAnsi="宋体" w:eastAsia="宋体" w:cs="Times New Roman"/>
          <w:sz w:val="24"/>
          <w:szCs w:val="23"/>
        </w:rPr>
        <w:t>，须</w:t>
      </w:r>
      <w:r>
        <w:rPr>
          <w:rFonts w:hint="eastAsia" w:ascii="宋体" w:hAnsi="宋体" w:eastAsia="宋体" w:cs="Times New Roman"/>
          <w:sz w:val="24"/>
          <w:szCs w:val="23"/>
          <w:u w:val="single"/>
        </w:rPr>
        <w:t>密封完好</w:t>
      </w:r>
      <w:r>
        <w:rPr>
          <w:rFonts w:hint="eastAsia" w:ascii="宋体" w:hAnsi="宋体" w:eastAsia="宋体" w:cs="Times New Roman"/>
          <w:sz w:val="24"/>
          <w:szCs w:val="23"/>
        </w:rPr>
        <w:t>。</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14</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23</w:t>
      </w:r>
      <w:r>
        <w:rPr>
          <w:rFonts w:hint="eastAsia" w:ascii="宋体" w:hAnsi="宋体" w:eastAsia="宋体" w:cs="Times New Roman"/>
          <w:sz w:val="24"/>
          <w:szCs w:val="23"/>
        </w:rPr>
        <w:t>页“6.1投标函”为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25</w:t>
      </w:r>
      <w:r>
        <w:rPr>
          <w:rFonts w:hint="eastAsia" w:ascii="宋体" w:hAnsi="宋体" w:eastAsia="宋体" w:cs="Times New Roman"/>
          <w:sz w:val="24"/>
          <w:szCs w:val="23"/>
        </w:rPr>
        <w:t>页“6.2价格文件”为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34</w:t>
      </w:r>
      <w:r>
        <w:rPr>
          <w:rFonts w:hint="eastAsia" w:ascii="宋体" w:hAnsi="宋体" w:eastAsia="宋体" w:cs="Times New Roman"/>
          <w:sz w:val="24"/>
          <w:szCs w:val="23"/>
        </w:rPr>
        <w:t>页“6.6.3法定代表人证明书”为必要文件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35</w:t>
      </w:r>
      <w:r>
        <w:rPr>
          <w:rFonts w:hint="eastAsia" w:ascii="宋体" w:hAnsi="宋体" w:eastAsia="宋体" w:cs="Times New Roman"/>
          <w:sz w:val="24"/>
          <w:szCs w:val="23"/>
        </w:rPr>
        <w:t>页“6.6.4授权委托书”为必要文件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sz w:val="24"/>
          <w:szCs w:val="23"/>
          <w:u w:val="single"/>
        </w:rPr>
        <w:t>代理人亲笔签名</w:t>
      </w:r>
      <w:r>
        <w:rPr>
          <w:rFonts w:hint="eastAsia" w:ascii="宋体" w:hAnsi="宋体" w:eastAsia="宋体" w:cs="Times New Roman"/>
          <w:sz w:val="24"/>
          <w:szCs w:val="23"/>
        </w:rPr>
        <w:t>,否则，作无效处理。</w:t>
      </w:r>
    </w:p>
    <w:p>
      <w:pPr>
        <w:pStyle w:val="90"/>
        <w:adjustRightInd w:val="0"/>
        <w:snapToGrid w:val="0"/>
        <w:spacing w:line="400" w:lineRule="exact"/>
        <w:ind w:firstLine="0" w:firstLineChars="0"/>
        <w:jc w:val="left"/>
        <w:rPr>
          <w:rFonts w:ascii="宋体" w:hAnsi="宋体" w:eastAsia="宋体" w:cs="Times New Roman"/>
          <w:sz w:val="24"/>
          <w:szCs w:val="23"/>
        </w:rPr>
      </w:pPr>
    </w:p>
    <w:p>
      <w:pPr>
        <w:pStyle w:val="24"/>
        <w:spacing w:line="360" w:lineRule="auto"/>
        <w:ind w:left="0" w:leftChars="0" w:firstLine="480" w:firstLineChars="200"/>
        <w:jc w:val="left"/>
        <w:rPr>
          <w:rFonts w:ascii="宋体" w:hAnsi="宋体"/>
          <w:sz w:val="24"/>
          <w:szCs w:val="23"/>
        </w:rPr>
      </w:pPr>
      <w:r>
        <w:rPr>
          <w:rFonts w:hint="eastAsia" w:ascii="宋体" w:hAnsi="宋体"/>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sz w:val="23"/>
          <w:szCs w:val="23"/>
        </w:rPr>
      </w:pPr>
    </w:p>
    <w:p>
      <w:pPr>
        <w:spacing w:line="360" w:lineRule="auto"/>
        <w:jc w:val="center"/>
        <w:rPr>
          <w:b/>
          <w:color w:val="000000"/>
          <w:sz w:val="32"/>
          <w:szCs w:val="32"/>
        </w:rPr>
      </w:pPr>
      <w:r>
        <w:rPr>
          <w:rFonts w:hint="eastAsia"/>
          <w:b/>
          <w:color w:val="000000"/>
          <w:sz w:val="32"/>
          <w:szCs w:val="32"/>
        </w:rPr>
        <w:t>目录</w:t>
      </w:r>
    </w:p>
    <w:p>
      <w:pPr>
        <w:pStyle w:val="28"/>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fldChar w:fldCharType="begin"/>
      </w:r>
      <w:r>
        <w:instrText xml:space="preserve"> HYPERLINK \l "_Toc7662" </w:instrText>
      </w:r>
      <w:r>
        <w:fldChar w:fldCharType="separate"/>
      </w:r>
      <w:r>
        <w:rPr>
          <w:rFonts w:hint="eastAsia" w:asciiTheme="minorEastAsia" w:hAnsiTheme="minorEastAsia" w:eastAsiaTheme="minorEastAsia"/>
          <w:szCs w:val="23"/>
        </w:rPr>
        <w:t>第一部分投标邀请函</w:t>
      </w:r>
      <w:r>
        <w:tab/>
      </w:r>
      <w:r>
        <w:fldChar w:fldCharType="begin"/>
      </w:r>
      <w:r>
        <w:instrText xml:space="preserve"> PAGEREF _Toc7662 </w:instrText>
      </w:r>
      <w:r>
        <w:fldChar w:fldCharType="separate"/>
      </w:r>
      <w:r>
        <w:t>1</w:t>
      </w:r>
      <w:r>
        <w:fldChar w:fldCharType="end"/>
      </w:r>
      <w:r>
        <w:fldChar w:fldCharType="end"/>
      </w:r>
    </w:p>
    <w:p>
      <w:pPr>
        <w:pStyle w:val="28"/>
        <w:tabs>
          <w:tab w:val="right" w:leader="dot" w:pos="8391"/>
        </w:tabs>
      </w:pPr>
      <w:r>
        <w:fldChar w:fldCharType="begin"/>
      </w:r>
      <w:r>
        <w:instrText xml:space="preserve"> HYPERLINK \l "_Toc18245" </w:instrText>
      </w:r>
      <w:r>
        <w:fldChar w:fldCharType="separate"/>
      </w:r>
      <w:r>
        <w:rPr>
          <w:rFonts w:hint="eastAsia" w:asciiTheme="minorEastAsia" w:hAnsiTheme="minorEastAsia" w:eastAsiaTheme="minorEastAsia"/>
          <w:szCs w:val="23"/>
        </w:rPr>
        <w:t>第二部分  项目内容及需求</w:t>
      </w:r>
      <w:r>
        <w:tab/>
      </w:r>
      <w:r>
        <w:fldChar w:fldCharType="begin"/>
      </w:r>
      <w:r>
        <w:instrText xml:space="preserve"> PAGEREF _Toc18245 </w:instrText>
      </w:r>
      <w:r>
        <w:fldChar w:fldCharType="separate"/>
      </w:r>
      <w:r>
        <w:t>2</w:t>
      </w:r>
      <w:r>
        <w:fldChar w:fldCharType="end"/>
      </w:r>
      <w:r>
        <w:fldChar w:fldCharType="end"/>
      </w:r>
    </w:p>
    <w:p>
      <w:pPr>
        <w:pStyle w:val="28"/>
        <w:tabs>
          <w:tab w:val="right" w:leader="dot" w:pos="8391"/>
        </w:tabs>
      </w:pPr>
      <w:r>
        <w:fldChar w:fldCharType="begin"/>
      </w:r>
      <w:r>
        <w:instrText xml:space="preserve"> HYPERLINK \l "_Toc8283" </w:instrText>
      </w:r>
      <w:r>
        <w:fldChar w:fldCharType="separate"/>
      </w:r>
      <w:r>
        <w:rPr>
          <w:rFonts w:hint="eastAsia" w:asciiTheme="minorEastAsia" w:hAnsiTheme="minorEastAsia" w:eastAsiaTheme="minorEastAsia"/>
          <w:szCs w:val="32"/>
        </w:rPr>
        <w:t>第三部分  投标人须知</w:t>
      </w:r>
      <w:r>
        <w:tab/>
      </w:r>
      <w:r>
        <w:fldChar w:fldCharType="begin"/>
      </w:r>
      <w:r>
        <w:instrText xml:space="preserve"> PAGEREF _Toc8283 </w:instrText>
      </w:r>
      <w:r>
        <w:fldChar w:fldCharType="separate"/>
      </w:r>
      <w:r>
        <w:t>12</w:t>
      </w:r>
      <w:r>
        <w:fldChar w:fldCharType="end"/>
      </w:r>
      <w:r>
        <w:fldChar w:fldCharType="end"/>
      </w:r>
    </w:p>
    <w:p>
      <w:pPr>
        <w:pStyle w:val="36"/>
        <w:tabs>
          <w:tab w:val="right" w:leader="dot" w:pos="8391"/>
        </w:tabs>
      </w:pPr>
      <w:r>
        <w:fldChar w:fldCharType="begin"/>
      </w:r>
      <w:r>
        <w:instrText xml:space="preserve"> HYPERLINK \l "_Toc22199" </w:instrText>
      </w:r>
      <w:r>
        <w:fldChar w:fldCharType="separate"/>
      </w:r>
      <w:r>
        <w:rPr>
          <w:rFonts w:hint="eastAsia" w:asciiTheme="minorEastAsia" w:hAnsiTheme="minorEastAsia" w:eastAsiaTheme="minorEastAsia"/>
          <w:szCs w:val="23"/>
        </w:rPr>
        <w:t>3.1 说明</w:t>
      </w:r>
      <w:r>
        <w:tab/>
      </w:r>
      <w:r>
        <w:fldChar w:fldCharType="begin"/>
      </w:r>
      <w:r>
        <w:instrText xml:space="preserve"> PAGEREF _Toc22199 </w:instrText>
      </w:r>
      <w:r>
        <w:fldChar w:fldCharType="separate"/>
      </w:r>
      <w:r>
        <w:t>12</w:t>
      </w:r>
      <w:r>
        <w:fldChar w:fldCharType="end"/>
      </w:r>
      <w:r>
        <w:fldChar w:fldCharType="end"/>
      </w:r>
    </w:p>
    <w:p>
      <w:pPr>
        <w:pStyle w:val="36"/>
        <w:tabs>
          <w:tab w:val="right" w:leader="dot" w:pos="8391"/>
        </w:tabs>
      </w:pPr>
      <w:r>
        <w:fldChar w:fldCharType="begin"/>
      </w:r>
      <w:r>
        <w:instrText xml:space="preserve"> HYPERLINK \l "_Toc27642" </w:instrText>
      </w:r>
      <w:r>
        <w:fldChar w:fldCharType="separate"/>
      </w:r>
      <w:r>
        <w:rPr>
          <w:rFonts w:hint="eastAsia" w:asciiTheme="minorEastAsia" w:hAnsiTheme="minorEastAsia" w:eastAsiaTheme="minorEastAsia"/>
          <w:szCs w:val="23"/>
        </w:rPr>
        <w:t>3.2 招标文件</w:t>
      </w:r>
      <w:r>
        <w:tab/>
      </w:r>
      <w:r>
        <w:fldChar w:fldCharType="begin"/>
      </w:r>
      <w:r>
        <w:instrText xml:space="preserve"> PAGEREF _Toc27642 </w:instrText>
      </w:r>
      <w:r>
        <w:fldChar w:fldCharType="separate"/>
      </w:r>
      <w:r>
        <w:t>12</w:t>
      </w:r>
      <w:r>
        <w:fldChar w:fldCharType="end"/>
      </w:r>
      <w:r>
        <w:fldChar w:fldCharType="end"/>
      </w:r>
    </w:p>
    <w:p>
      <w:pPr>
        <w:pStyle w:val="36"/>
        <w:tabs>
          <w:tab w:val="right" w:leader="dot" w:pos="8391"/>
        </w:tabs>
      </w:pPr>
      <w:r>
        <w:fldChar w:fldCharType="begin"/>
      </w:r>
      <w:r>
        <w:instrText xml:space="preserve"> HYPERLINK \l "_Toc19355" </w:instrText>
      </w:r>
      <w:r>
        <w:fldChar w:fldCharType="separate"/>
      </w:r>
      <w:r>
        <w:rPr>
          <w:rFonts w:hint="eastAsia" w:asciiTheme="minorEastAsia" w:hAnsiTheme="minorEastAsia" w:eastAsiaTheme="minorEastAsia"/>
          <w:szCs w:val="23"/>
        </w:rPr>
        <w:t>3.3 投标文件</w:t>
      </w:r>
      <w:r>
        <w:tab/>
      </w:r>
      <w:r>
        <w:fldChar w:fldCharType="begin"/>
      </w:r>
      <w:r>
        <w:instrText xml:space="preserve"> PAGEREF _Toc19355 </w:instrText>
      </w:r>
      <w:r>
        <w:fldChar w:fldCharType="separate"/>
      </w:r>
      <w:r>
        <w:t>13</w:t>
      </w:r>
      <w:r>
        <w:fldChar w:fldCharType="end"/>
      </w:r>
      <w:r>
        <w:fldChar w:fldCharType="end"/>
      </w:r>
    </w:p>
    <w:p>
      <w:pPr>
        <w:pStyle w:val="28"/>
        <w:tabs>
          <w:tab w:val="right" w:leader="dot" w:pos="8391"/>
        </w:tabs>
      </w:pPr>
      <w:r>
        <w:fldChar w:fldCharType="begin"/>
      </w:r>
      <w:r>
        <w:instrText xml:space="preserve"> HYPERLINK \l "_Toc13611" </w:instrText>
      </w:r>
      <w:r>
        <w:fldChar w:fldCharType="separate"/>
      </w:r>
      <w:r>
        <w:rPr>
          <w:rFonts w:hint="eastAsia" w:ascii="宋体" w:hAnsi="宋体"/>
          <w:szCs w:val="23"/>
        </w:rPr>
        <w:t>第四部分  评标办法及标准</w:t>
      </w:r>
      <w:r>
        <w:tab/>
      </w:r>
      <w:r>
        <w:fldChar w:fldCharType="begin"/>
      </w:r>
      <w:r>
        <w:instrText xml:space="preserve"> PAGEREF _Toc13611 </w:instrText>
      </w:r>
      <w:r>
        <w:fldChar w:fldCharType="separate"/>
      </w:r>
      <w:r>
        <w:t>14</w:t>
      </w:r>
      <w:r>
        <w:fldChar w:fldCharType="end"/>
      </w:r>
      <w:r>
        <w:fldChar w:fldCharType="end"/>
      </w:r>
    </w:p>
    <w:p>
      <w:pPr>
        <w:pStyle w:val="36"/>
        <w:tabs>
          <w:tab w:val="right" w:leader="dot" w:pos="8391"/>
        </w:tabs>
      </w:pPr>
      <w:r>
        <w:fldChar w:fldCharType="begin"/>
      </w:r>
      <w:r>
        <w:instrText xml:space="preserve"> HYPERLINK \l "_Toc27411" </w:instrText>
      </w:r>
      <w:r>
        <w:fldChar w:fldCharType="separate"/>
      </w:r>
      <w:r>
        <w:rPr>
          <w:rFonts w:hint="eastAsia" w:ascii="宋体" w:hAnsi="宋体"/>
          <w:szCs w:val="23"/>
        </w:rPr>
        <w:t>4.1 评标方法</w:t>
      </w:r>
      <w:r>
        <w:tab/>
      </w:r>
      <w:r>
        <w:fldChar w:fldCharType="begin"/>
      </w:r>
      <w:r>
        <w:instrText xml:space="preserve"> PAGEREF _Toc27411 </w:instrText>
      </w:r>
      <w:r>
        <w:fldChar w:fldCharType="separate"/>
      </w:r>
      <w:r>
        <w:t>15</w:t>
      </w:r>
      <w:r>
        <w:fldChar w:fldCharType="end"/>
      </w:r>
      <w:r>
        <w:fldChar w:fldCharType="end"/>
      </w:r>
    </w:p>
    <w:p>
      <w:pPr>
        <w:pStyle w:val="36"/>
        <w:tabs>
          <w:tab w:val="right" w:leader="dot" w:pos="8391"/>
        </w:tabs>
      </w:pPr>
      <w:r>
        <w:fldChar w:fldCharType="begin"/>
      </w:r>
      <w:r>
        <w:instrText xml:space="preserve"> HYPERLINK \l "_Toc3519" </w:instrText>
      </w:r>
      <w:r>
        <w:fldChar w:fldCharType="separate"/>
      </w:r>
      <w:r>
        <w:rPr>
          <w:rFonts w:hint="eastAsia" w:ascii="宋体" w:hAnsi="宋体"/>
          <w:szCs w:val="23"/>
        </w:rPr>
        <w:t>4.2 评标标准：</w:t>
      </w:r>
      <w:r>
        <w:tab/>
      </w:r>
      <w:r>
        <w:fldChar w:fldCharType="begin"/>
      </w:r>
      <w:r>
        <w:instrText xml:space="preserve"> PAGEREF _Toc3519 </w:instrText>
      </w:r>
      <w:r>
        <w:fldChar w:fldCharType="separate"/>
      </w:r>
      <w:r>
        <w:t>15</w:t>
      </w:r>
      <w:r>
        <w:fldChar w:fldCharType="end"/>
      </w:r>
      <w:r>
        <w:fldChar w:fldCharType="end"/>
      </w:r>
    </w:p>
    <w:p>
      <w:pPr>
        <w:pStyle w:val="28"/>
        <w:tabs>
          <w:tab w:val="right" w:leader="dot" w:pos="8391"/>
        </w:tabs>
      </w:pPr>
      <w:r>
        <w:fldChar w:fldCharType="begin"/>
      </w:r>
      <w:r>
        <w:instrText xml:space="preserve"> HYPERLINK \l "_Toc17408" </w:instrText>
      </w:r>
      <w:r>
        <w:fldChar w:fldCharType="separate"/>
      </w:r>
      <w:r>
        <w:rPr>
          <w:rFonts w:hint="eastAsia" w:ascii="宋体" w:hAnsi="宋体"/>
          <w:szCs w:val="23"/>
        </w:rPr>
        <w:t>第五部分  合同格式及主要条款</w:t>
      </w:r>
      <w:r>
        <w:tab/>
      </w:r>
      <w:r>
        <w:fldChar w:fldCharType="begin"/>
      </w:r>
      <w:r>
        <w:instrText xml:space="preserve"> PAGEREF _Toc17408 </w:instrText>
      </w:r>
      <w:r>
        <w:fldChar w:fldCharType="separate"/>
      </w:r>
      <w:r>
        <w:t>20</w:t>
      </w:r>
      <w:r>
        <w:fldChar w:fldCharType="end"/>
      </w:r>
      <w:r>
        <w:fldChar w:fldCharType="end"/>
      </w:r>
    </w:p>
    <w:p>
      <w:pPr>
        <w:pStyle w:val="28"/>
        <w:tabs>
          <w:tab w:val="right" w:leader="dot" w:pos="8391"/>
        </w:tabs>
      </w:pPr>
      <w:r>
        <w:fldChar w:fldCharType="begin"/>
      </w:r>
      <w:r>
        <w:instrText xml:space="preserve"> HYPERLINK \l "_Toc17442" </w:instrText>
      </w:r>
      <w:r>
        <w:fldChar w:fldCharType="separate"/>
      </w:r>
      <w:r>
        <w:rPr>
          <w:rFonts w:hint="eastAsia" w:ascii="宋体" w:hAnsi="宋体"/>
          <w:szCs w:val="23"/>
        </w:rPr>
        <w:t>第六部分  投标文件格式</w:t>
      </w:r>
      <w:r>
        <w:tab/>
      </w:r>
      <w:r>
        <w:fldChar w:fldCharType="begin"/>
      </w:r>
      <w:r>
        <w:instrText xml:space="preserve"> PAGEREF _Toc17442 </w:instrText>
      </w:r>
      <w:r>
        <w:fldChar w:fldCharType="separate"/>
      </w:r>
      <w:r>
        <w:t>22</w:t>
      </w:r>
      <w:r>
        <w:fldChar w:fldCharType="end"/>
      </w:r>
      <w:r>
        <w:fldChar w:fldCharType="end"/>
      </w:r>
    </w:p>
    <w:p>
      <w:pPr>
        <w:pStyle w:val="36"/>
        <w:tabs>
          <w:tab w:val="right" w:leader="dot" w:pos="8391"/>
        </w:tabs>
      </w:pPr>
      <w:r>
        <w:fldChar w:fldCharType="begin"/>
      </w:r>
      <w:r>
        <w:instrText xml:space="preserve"> HYPERLINK \l "_Toc8702" </w:instrText>
      </w:r>
      <w:r>
        <w:fldChar w:fldCharType="separate"/>
      </w:r>
      <w:r>
        <w:rPr>
          <w:rFonts w:hint="eastAsia" w:ascii="宋体" w:hAnsi="宋体"/>
          <w:szCs w:val="23"/>
        </w:rPr>
        <w:t>6.1 投标函</w:t>
      </w:r>
      <w:r>
        <w:tab/>
      </w:r>
      <w:r>
        <w:fldChar w:fldCharType="begin"/>
      </w:r>
      <w:r>
        <w:instrText xml:space="preserve"> PAGEREF _Toc8702 </w:instrText>
      </w:r>
      <w:r>
        <w:fldChar w:fldCharType="separate"/>
      </w:r>
      <w:r>
        <w:t>22</w:t>
      </w:r>
      <w:r>
        <w:fldChar w:fldCharType="end"/>
      </w:r>
      <w:r>
        <w:fldChar w:fldCharType="end"/>
      </w:r>
    </w:p>
    <w:p>
      <w:pPr>
        <w:pStyle w:val="36"/>
        <w:tabs>
          <w:tab w:val="right" w:leader="dot" w:pos="8391"/>
        </w:tabs>
      </w:pPr>
      <w:r>
        <w:fldChar w:fldCharType="begin"/>
      </w:r>
      <w:r>
        <w:instrText xml:space="preserve"> HYPERLINK \l "_Toc22742" </w:instrText>
      </w:r>
      <w:r>
        <w:fldChar w:fldCharType="separate"/>
      </w:r>
      <w:r>
        <w:rPr>
          <w:rFonts w:hint="eastAsia" w:ascii="宋体" w:hAnsi="宋体"/>
          <w:szCs w:val="23"/>
        </w:rPr>
        <w:t>6.2 价格文件</w:t>
      </w:r>
      <w:r>
        <w:tab/>
      </w:r>
      <w:r>
        <w:fldChar w:fldCharType="begin"/>
      </w:r>
      <w:r>
        <w:instrText xml:space="preserve"> PAGEREF _Toc22742 </w:instrText>
      </w:r>
      <w:r>
        <w:fldChar w:fldCharType="separate"/>
      </w:r>
      <w:r>
        <w:t>24</w:t>
      </w:r>
      <w:r>
        <w:fldChar w:fldCharType="end"/>
      </w:r>
      <w:r>
        <w:fldChar w:fldCharType="end"/>
      </w:r>
    </w:p>
    <w:p>
      <w:pPr>
        <w:pStyle w:val="36"/>
        <w:tabs>
          <w:tab w:val="right" w:leader="dot" w:pos="8391"/>
        </w:tabs>
      </w:pPr>
      <w:r>
        <w:fldChar w:fldCharType="begin"/>
      </w:r>
      <w:r>
        <w:instrText xml:space="preserve"> HYPERLINK \l "_Toc16758" </w:instrText>
      </w:r>
      <w:r>
        <w:fldChar w:fldCharType="separate"/>
      </w:r>
      <w:r>
        <w:rPr>
          <w:rFonts w:hint="eastAsia" w:ascii="宋体" w:hAnsi="宋体"/>
          <w:szCs w:val="23"/>
        </w:rPr>
        <w:t>6.3 技术文件</w:t>
      </w:r>
      <w:r>
        <w:tab/>
      </w:r>
      <w:r>
        <w:fldChar w:fldCharType="begin"/>
      </w:r>
      <w:r>
        <w:instrText xml:space="preserve"> PAGEREF _Toc16758 </w:instrText>
      </w:r>
      <w:r>
        <w:fldChar w:fldCharType="separate"/>
      </w:r>
      <w:r>
        <w:t>25</w:t>
      </w:r>
      <w:r>
        <w:fldChar w:fldCharType="end"/>
      </w:r>
      <w:r>
        <w:fldChar w:fldCharType="end"/>
      </w:r>
    </w:p>
    <w:p>
      <w:pPr>
        <w:pStyle w:val="36"/>
        <w:tabs>
          <w:tab w:val="right" w:leader="dot" w:pos="8391"/>
        </w:tabs>
      </w:pPr>
      <w:r>
        <w:fldChar w:fldCharType="begin"/>
      </w:r>
      <w:r>
        <w:instrText xml:space="preserve"> HYPERLINK \l "_Toc9418" </w:instrText>
      </w:r>
      <w:r>
        <w:fldChar w:fldCharType="separate"/>
      </w:r>
      <w:r>
        <w:rPr>
          <w:rFonts w:hint="eastAsia" w:ascii="宋体" w:hAnsi="宋体"/>
          <w:szCs w:val="23"/>
        </w:rPr>
        <w:t>6.4 商务文件</w:t>
      </w:r>
      <w:r>
        <w:tab/>
      </w:r>
      <w:r>
        <w:fldChar w:fldCharType="begin"/>
      </w:r>
      <w:r>
        <w:instrText xml:space="preserve"> PAGEREF _Toc9418 </w:instrText>
      </w:r>
      <w:r>
        <w:fldChar w:fldCharType="separate"/>
      </w:r>
      <w:r>
        <w:t>26</w:t>
      </w:r>
      <w:r>
        <w:fldChar w:fldCharType="end"/>
      </w:r>
      <w:r>
        <w:fldChar w:fldCharType="end"/>
      </w:r>
    </w:p>
    <w:p>
      <w:pPr>
        <w:pStyle w:val="36"/>
        <w:tabs>
          <w:tab w:val="right" w:leader="dot" w:pos="8391"/>
        </w:tabs>
      </w:pPr>
      <w:r>
        <w:fldChar w:fldCharType="begin"/>
      </w:r>
      <w:r>
        <w:instrText xml:space="preserve"> HYPERLINK \l "_Toc5411" </w:instrText>
      </w:r>
      <w:r>
        <w:fldChar w:fldCharType="separate"/>
      </w:r>
      <w:r>
        <w:rPr>
          <w:rFonts w:hint="eastAsia" w:ascii="宋体" w:hAnsi="宋体"/>
          <w:szCs w:val="23"/>
        </w:rPr>
        <w:t>6.5 承诺书</w:t>
      </w:r>
      <w:r>
        <w:tab/>
      </w:r>
      <w:r>
        <w:fldChar w:fldCharType="begin"/>
      </w:r>
      <w:r>
        <w:instrText xml:space="preserve"> PAGEREF _Toc5411 </w:instrText>
      </w:r>
      <w:r>
        <w:fldChar w:fldCharType="separate"/>
      </w:r>
      <w:r>
        <w:t>29</w:t>
      </w:r>
      <w:r>
        <w:fldChar w:fldCharType="end"/>
      </w:r>
      <w:r>
        <w:fldChar w:fldCharType="end"/>
      </w:r>
    </w:p>
    <w:p>
      <w:pPr>
        <w:pStyle w:val="36"/>
        <w:tabs>
          <w:tab w:val="right" w:leader="dot" w:pos="8391"/>
        </w:tabs>
      </w:pPr>
      <w:r>
        <w:fldChar w:fldCharType="begin"/>
      </w:r>
      <w:r>
        <w:instrText xml:space="preserve"> HYPERLINK \l "_Toc24395" </w:instrText>
      </w:r>
      <w:r>
        <w:fldChar w:fldCharType="separate"/>
      </w:r>
      <w:r>
        <w:rPr>
          <w:rFonts w:hint="eastAsia" w:ascii="宋体" w:hAnsi="宋体"/>
          <w:szCs w:val="23"/>
        </w:rPr>
        <w:t>6.6 投标资格文件</w:t>
      </w:r>
      <w:r>
        <w:tab/>
      </w:r>
      <w:r>
        <w:fldChar w:fldCharType="begin"/>
      </w:r>
      <w:r>
        <w:instrText xml:space="preserve"> PAGEREF _Toc24395 </w:instrText>
      </w:r>
      <w:r>
        <w:fldChar w:fldCharType="separate"/>
      </w:r>
      <w:r>
        <w:t>30</w:t>
      </w:r>
      <w:r>
        <w:fldChar w:fldCharType="end"/>
      </w:r>
      <w:r>
        <w:fldChar w:fldCharType="end"/>
      </w:r>
    </w:p>
    <w:p>
      <w:pPr>
        <w:pStyle w:val="36"/>
        <w:tabs>
          <w:tab w:val="right" w:leader="dot" w:pos="8391"/>
        </w:tabs>
      </w:pPr>
      <w:r>
        <w:fldChar w:fldCharType="begin"/>
      </w:r>
      <w:r>
        <w:instrText xml:space="preserve"> HYPERLINK \l "_Toc12462" </w:instrText>
      </w:r>
      <w:r>
        <w:fldChar w:fldCharType="separate"/>
      </w:r>
      <w:r>
        <w:rPr>
          <w:rFonts w:hint="eastAsia" w:ascii="宋体" w:hAnsi="宋体"/>
          <w:szCs w:val="23"/>
        </w:rPr>
        <w:t>6.7 投标文件自查清单（仅供提示）</w:t>
      </w:r>
      <w:r>
        <w:tab/>
      </w:r>
      <w:r>
        <w:fldChar w:fldCharType="begin"/>
      </w:r>
      <w:r>
        <w:instrText xml:space="preserve"> PAGEREF _Toc12462 </w:instrText>
      </w:r>
      <w:r>
        <w:fldChar w:fldCharType="separate"/>
      </w:r>
      <w:r>
        <w:t>34</w:t>
      </w:r>
      <w:r>
        <w:fldChar w:fldCharType="end"/>
      </w:r>
      <w:r>
        <w:fldChar w:fldCharType="end"/>
      </w:r>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rPr>
        <w:fldChar w:fldCharType="end"/>
      </w:r>
    </w:p>
    <w:p>
      <w:pPr>
        <w:rPr>
          <w:color w:val="000000"/>
          <w:sz w:val="23"/>
          <w:szCs w:val="23"/>
        </w:rPr>
      </w:pPr>
    </w:p>
    <w:p>
      <w:pPr>
        <w:pStyle w:val="2"/>
        <w:spacing w:before="0" w:after="0" w:line="240" w:lineRule="auto"/>
        <w:jc w:val="center"/>
        <w:rPr>
          <w:rFonts w:asciiTheme="minorEastAsia" w:hAnsiTheme="minorEastAsia" w:eastAsiaTheme="minorEastAsia"/>
          <w:color w:val="000000"/>
          <w:sz w:val="32"/>
          <w:szCs w:val="23"/>
        </w:rPr>
      </w:pPr>
      <w:bookmarkStart w:id="0" w:name="_Toc7662"/>
      <w:r>
        <w:rPr>
          <w:rFonts w:hint="eastAsia" w:asciiTheme="minorEastAsia" w:hAnsiTheme="minorEastAsia" w:eastAsiaTheme="minorEastAsia"/>
          <w:color w:val="000000"/>
          <w:sz w:val="32"/>
          <w:szCs w:val="23"/>
        </w:rPr>
        <w:t>第一部分投标邀请函</w:t>
      </w:r>
      <w:bookmarkEnd w:id="0"/>
    </w:p>
    <w:p>
      <w:pPr>
        <w:rPr>
          <w:rFonts w:asciiTheme="minorEastAsia" w:hAnsiTheme="minorEastAsia" w:eastAsiaTheme="minorEastAsia"/>
          <w:color w:val="000000"/>
          <w:sz w:val="23"/>
          <w:szCs w:val="23"/>
        </w:rPr>
      </w:pPr>
    </w:p>
    <w:p>
      <w:pPr>
        <w:spacing w:line="52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u w:val="single"/>
        </w:rPr>
        <w:t>各潜在投标人</w:t>
      </w:r>
      <w:r>
        <w:rPr>
          <w:rFonts w:hint="eastAsia" w:asciiTheme="minorEastAsia" w:hAnsiTheme="minorEastAsia" w:eastAsiaTheme="minorEastAsia"/>
          <w:color w:val="000000"/>
          <w:sz w:val="23"/>
          <w:szCs w:val="23"/>
        </w:rPr>
        <w:t>：</w:t>
      </w:r>
    </w:p>
    <w:p>
      <w:pPr>
        <w:spacing w:line="360" w:lineRule="auto"/>
        <w:ind w:firstLine="460" w:firstLineChars="200"/>
        <w:jc w:val="left"/>
        <w:rPr>
          <w:rFonts w:asciiTheme="minorEastAsia" w:hAnsiTheme="minorEastAsia" w:eastAsiaTheme="minorEastAsia"/>
          <w:sz w:val="23"/>
          <w:szCs w:val="23"/>
        </w:rPr>
      </w:pPr>
      <w:r>
        <w:rPr>
          <w:rFonts w:hint="eastAsia" w:asciiTheme="minorEastAsia" w:hAnsiTheme="minorEastAsia" w:eastAsiaTheme="minorEastAsia"/>
          <w:sz w:val="23"/>
          <w:szCs w:val="23"/>
        </w:rPr>
        <w:t>根据《</w:t>
      </w:r>
      <w:r>
        <w:rPr>
          <w:rFonts w:asciiTheme="minorEastAsia" w:hAnsiTheme="minorEastAsia" w:eastAsiaTheme="minorEastAsia"/>
          <w:sz w:val="23"/>
          <w:szCs w:val="23"/>
        </w:rPr>
        <w:t>广东财经大学</w:t>
      </w:r>
      <w:r>
        <w:rPr>
          <w:rFonts w:hint="eastAsia" w:asciiTheme="minorEastAsia" w:hAnsiTheme="minorEastAsia" w:eastAsiaTheme="minorEastAsia"/>
          <w:sz w:val="23"/>
          <w:szCs w:val="23"/>
        </w:rPr>
        <w:t>招标投标</w:t>
      </w:r>
      <w:r>
        <w:rPr>
          <w:rFonts w:asciiTheme="minorEastAsia" w:hAnsiTheme="minorEastAsia" w:eastAsiaTheme="minorEastAsia"/>
          <w:sz w:val="23"/>
          <w:szCs w:val="23"/>
        </w:rPr>
        <w:t>管理办法</w:t>
      </w:r>
      <w:r>
        <w:rPr>
          <w:rFonts w:hint="eastAsia" w:asciiTheme="minorEastAsia" w:hAnsiTheme="minorEastAsia" w:eastAsiaTheme="minorEastAsia"/>
          <w:sz w:val="23"/>
          <w:szCs w:val="23"/>
        </w:rPr>
        <w:t>》有关规定，我校拟通过公开招标方式</w:t>
      </w:r>
      <w:r>
        <w:rPr>
          <w:rFonts w:hint="eastAsia" w:asciiTheme="minorEastAsia" w:hAnsiTheme="minorEastAsia" w:eastAsiaTheme="minorEastAsia"/>
          <w:spacing w:val="-6"/>
          <w:sz w:val="23"/>
          <w:szCs w:val="23"/>
        </w:rPr>
        <w:t>为</w:t>
      </w:r>
      <w:r>
        <w:rPr>
          <w:rFonts w:hint="eastAsia" w:asciiTheme="minorEastAsia" w:hAnsiTheme="minorEastAsia" w:eastAsiaTheme="minorEastAsia"/>
          <w:sz w:val="23"/>
          <w:szCs w:val="23"/>
        </w:rPr>
        <w:t>佛山三水校区高压电气设备维护保养服务项目</w:t>
      </w:r>
      <w:r>
        <w:rPr>
          <w:rFonts w:hint="eastAsia" w:asciiTheme="minorEastAsia" w:hAnsiTheme="minorEastAsia" w:eastAsiaTheme="minorEastAsia"/>
          <w:spacing w:val="-6"/>
          <w:sz w:val="23"/>
          <w:szCs w:val="23"/>
        </w:rPr>
        <w:t>选定供应商</w:t>
      </w:r>
      <w:r>
        <w:rPr>
          <w:rFonts w:hint="eastAsia" w:asciiTheme="minorEastAsia" w:hAnsiTheme="minorEastAsia" w:eastAsiaTheme="minorEastAsia"/>
          <w:sz w:val="23"/>
          <w:szCs w:val="23"/>
        </w:rPr>
        <w:t>。欢迎符合资格条件的供应商前来投标。有关事宜如下：</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项目名称</w:t>
      </w:r>
      <w:r>
        <w:rPr>
          <w:rFonts w:hint="eastAsia" w:asciiTheme="minorEastAsia" w:hAnsiTheme="minorEastAsia" w:eastAsiaTheme="minorEastAsia"/>
          <w:sz w:val="23"/>
          <w:szCs w:val="23"/>
        </w:rPr>
        <w:t xml:space="preserve">：佛山三水校区高压电气设备维护保养服务项目 </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投标最高控制价：</w:t>
      </w:r>
      <w:r>
        <w:rPr>
          <w:rFonts w:hint="eastAsia" w:cs="仿宋_GB2312" w:asciiTheme="minorEastAsia" w:hAnsiTheme="minorEastAsia" w:eastAsiaTheme="minorEastAsia"/>
          <w:sz w:val="24"/>
        </w:rPr>
        <w:t>76000元</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递交投标文件及</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 xml:space="preserve"> </w:t>
      </w:r>
    </w:p>
    <w:p>
      <w:pPr>
        <w:spacing w:line="520" w:lineRule="exact"/>
        <w:ind w:left="540"/>
        <w:rPr>
          <w:rFonts w:asciiTheme="minorEastAsia" w:hAnsiTheme="minorEastAsia" w:eastAsiaTheme="minorEastAsia"/>
          <w:sz w:val="23"/>
          <w:szCs w:val="23"/>
        </w:rPr>
      </w:pPr>
      <w:r>
        <w:rPr>
          <w:rFonts w:hint="eastAsia" w:asciiTheme="minorEastAsia" w:hAnsiTheme="minorEastAsia" w:eastAsiaTheme="minorEastAsia"/>
          <w:sz w:val="23"/>
          <w:szCs w:val="23"/>
        </w:rPr>
        <w:t>1.3.1</w:t>
      </w:r>
      <w:r>
        <w:rPr>
          <w:rFonts w:asciiTheme="minorEastAsia" w:hAnsiTheme="minorEastAsia" w:eastAsiaTheme="minorEastAsia"/>
          <w:sz w:val="23"/>
          <w:szCs w:val="23"/>
        </w:rPr>
        <w:t>递交投标文件时间：</w:t>
      </w:r>
      <w:r>
        <w:rPr>
          <w:rFonts w:hint="eastAsia" w:asciiTheme="minorEastAsia" w:hAnsiTheme="minorEastAsia" w:eastAsiaTheme="minorEastAsia"/>
          <w:sz w:val="23"/>
          <w:szCs w:val="23"/>
        </w:rPr>
        <w:t xml:space="preserve">2019年12月27 .30.31日上午9点-11:30点，下午2点30分-4点00分 </w:t>
      </w:r>
    </w:p>
    <w:p>
      <w:pPr>
        <w:spacing w:line="520" w:lineRule="exact"/>
        <w:ind w:firstLine="575" w:firstLineChars="250"/>
        <w:rPr>
          <w:rFonts w:asciiTheme="minorEastAsia" w:hAnsiTheme="minorEastAsia" w:eastAsiaTheme="minorEastAsia"/>
          <w:sz w:val="23"/>
          <w:szCs w:val="23"/>
        </w:rPr>
      </w:pPr>
      <w:r>
        <w:rPr>
          <w:rFonts w:hint="eastAsia" w:asciiTheme="minorEastAsia" w:hAnsiTheme="minorEastAsia" w:eastAsiaTheme="minorEastAsia"/>
          <w:sz w:val="23"/>
          <w:szCs w:val="23"/>
        </w:rPr>
        <w:t>1.3.2</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2019年 12 月 31 日4点00分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asciiTheme="minorEastAsia" w:hAnsiTheme="minorEastAsia" w:eastAsiaTheme="minorEastAsia"/>
          <w:sz w:val="23"/>
          <w:szCs w:val="23"/>
        </w:rPr>
        <w:t>信息发布</w:t>
      </w:r>
      <w:r>
        <w:rPr>
          <w:rFonts w:hint="eastAsia" w:asciiTheme="minorEastAsia" w:hAnsiTheme="minorEastAsia" w:eastAsiaTheme="minorEastAsia"/>
          <w:sz w:val="23"/>
          <w:szCs w:val="23"/>
        </w:rPr>
        <w:t>媒体</w:t>
      </w:r>
    </w:p>
    <w:p>
      <w:pPr>
        <w:spacing w:line="520" w:lineRule="exact"/>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凡与本项目相关的澄清、变更、以及中标公示、成交结果等信息均发布在广东财经大学佛山三水校区</w:t>
      </w:r>
      <w:r>
        <w:rPr>
          <w:rFonts w:hint="eastAsia" w:asciiTheme="minorEastAsia" w:hAnsiTheme="minorEastAsia" w:eastAsiaTheme="minorEastAsia"/>
          <w:spacing w:val="-12"/>
          <w:sz w:val="23"/>
          <w:szCs w:val="23"/>
        </w:rPr>
        <w:t>网站</w:t>
      </w:r>
      <w:r>
        <w:rPr>
          <w:rFonts w:hint="eastAsia" w:asciiTheme="minorEastAsia" w:hAnsiTheme="minorEastAsia" w:eastAsiaTheme="minorEastAsia"/>
          <w:sz w:val="23"/>
          <w:szCs w:val="23"/>
        </w:rPr>
        <w:t>。如有不一致，以发布在广东财经大学佛山三水校区网站的文本为准。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期望得到的协助与配合</w:t>
      </w:r>
    </w:p>
    <w:p>
      <w:pPr>
        <w:snapToGrid w:val="0"/>
        <w:spacing w:line="520" w:lineRule="exact"/>
        <w:ind w:firstLine="460" w:firstLineChars="200"/>
        <w:rPr>
          <w:rFonts w:cs="Tahoma" w:asciiTheme="minorEastAsia" w:hAnsiTheme="minorEastAsia" w:eastAsiaTheme="minorEastAsia"/>
          <w:sz w:val="23"/>
          <w:szCs w:val="23"/>
        </w:rPr>
      </w:pPr>
      <w:r>
        <w:rPr>
          <w:rFonts w:hint="eastAsia" w:cs="Tahoma" w:asciiTheme="minorEastAsia" w:hAnsiTheme="minorEastAsia" w:eastAsiaTheme="minorEastAsia"/>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招标</w:t>
      </w:r>
      <w:r>
        <w:rPr>
          <w:rFonts w:asciiTheme="minorEastAsia" w:hAnsiTheme="minorEastAsia" w:eastAsiaTheme="minorEastAsia"/>
          <w:sz w:val="23"/>
          <w:szCs w:val="23"/>
        </w:rPr>
        <w:t>人</w:t>
      </w:r>
      <w:r>
        <w:rPr>
          <w:rFonts w:hint="eastAsia" w:asciiTheme="minorEastAsia" w:hAnsiTheme="minorEastAsia" w:eastAsiaTheme="minorEastAsia"/>
          <w:sz w:val="23"/>
          <w:szCs w:val="23"/>
        </w:rPr>
        <w:t>及</w:t>
      </w:r>
      <w:r>
        <w:rPr>
          <w:rFonts w:asciiTheme="minorEastAsia" w:hAnsiTheme="minorEastAsia" w:eastAsiaTheme="minorEastAsia"/>
          <w:sz w:val="23"/>
          <w:szCs w:val="23"/>
        </w:rPr>
        <w:t>联系方式</w:t>
      </w:r>
    </w:p>
    <w:tbl>
      <w:tblPr>
        <w:tblStyle w:val="41"/>
        <w:tblW w:w="8460" w:type="dxa"/>
        <w:jc w:val="center"/>
        <w:tblInd w:w="0" w:type="dxa"/>
        <w:tblLayout w:type="fixed"/>
        <w:tblCellMar>
          <w:top w:w="0" w:type="dxa"/>
          <w:left w:w="108" w:type="dxa"/>
          <w:bottom w:w="0" w:type="dxa"/>
          <w:right w:w="108" w:type="dxa"/>
        </w:tblCellMar>
      </w:tblPr>
      <w:tblGrid>
        <w:gridCol w:w="562"/>
        <w:gridCol w:w="1598"/>
        <w:gridCol w:w="2261"/>
        <w:gridCol w:w="1564"/>
        <w:gridCol w:w="2475"/>
      </w:tblGrid>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招标人：</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广东财经大学</w:t>
            </w:r>
          </w:p>
        </w:tc>
        <w:tc>
          <w:tcPr>
            <w:tcW w:w="1564"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联系人：</w:t>
            </w:r>
          </w:p>
        </w:tc>
        <w:tc>
          <w:tcPr>
            <w:tcW w:w="2475"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凌老师</w:t>
            </w:r>
          </w:p>
        </w:tc>
      </w:tr>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联系电话：</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 xml:space="preserve">0757- 87828119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Layout w:type="fixed"/>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lang w:val="zh-CN"/>
              </w:rPr>
              <w:t>联系地址：</w:t>
            </w:r>
          </w:p>
        </w:tc>
        <w:tc>
          <w:tcPr>
            <w:tcW w:w="6300" w:type="dxa"/>
            <w:gridSpan w:val="3"/>
          </w:tcPr>
          <w:p>
            <w:pPr>
              <w:spacing w:line="520" w:lineRule="exact"/>
              <w:jc w:val="left"/>
              <w:rPr>
                <w:rFonts w:asciiTheme="minorEastAsia" w:hAnsiTheme="minorEastAsia" w:eastAsiaTheme="minorEastAsia"/>
                <w:sz w:val="23"/>
                <w:szCs w:val="23"/>
                <w:lang w:val="zh-CN"/>
              </w:rPr>
            </w:pPr>
            <w:r>
              <w:rPr>
                <w:rFonts w:hint="eastAsia" w:asciiTheme="minorEastAsia" w:hAnsiTheme="minorEastAsia" w:eastAsiaTheme="minorEastAsia"/>
                <w:sz w:val="23"/>
                <w:szCs w:val="23"/>
              </w:rPr>
              <w:t>广东财经大学佛山三水校区后勤办（佛山市三水区云东海旅游区学海路1号）</w:t>
            </w:r>
          </w:p>
        </w:tc>
      </w:tr>
    </w:tbl>
    <w:p>
      <w:pPr>
        <w:pStyle w:val="2"/>
        <w:jc w:val="center"/>
        <w:rPr>
          <w:rFonts w:asciiTheme="minorEastAsia" w:hAnsiTheme="minorEastAsia" w:eastAsiaTheme="minorEastAsia"/>
          <w:sz w:val="23"/>
          <w:szCs w:val="23"/>
        </w:rPr>
      </w:pPr>
      <w:r>
        <w:rPr>
          <w:rFonts w:asciiTheme="minorEastAsia" w:hAnsiTheme="minorEastAsia" w:eastAsiaTheme="minorEastAsia"/>
          <w:b w:val="0"/>
          <w:sz w:val="23"/>
          <w:szCs w:val="23"/>
        </w:rPr>
        <w:br w:type="page"/>
      </w:r>
      <w:bookmarkStart w:id="1" w:name="_Toc18245"/>
      <w:bookmarkStart w:id="2" w:name="_Toc280272729"/>
      <w:bookmarkStart w:id="3" w:name="_Toc298325850"/>
      <w:bookmarkStart w:id="4" w:name="OLE_LINK44"/>
      <w:r>
        <w:rPr>
          <w:rFonts w:hint="eastAsia" w:asciiTheme="minorEastAsia" w:hAnsiTheme="minorEastAsia" w:eastAsiaTheme="minorEastAsia"/>
          <w:sz w:val="32"/>
          <w:szCs w:val="23"/>
        </w:rPr>
        <w:t>第二部分  项目内容及需求</w:t>
      </w:r>
      <w:bookmarkEnd w:id="1"/>
      <w:bookmarkEnd w:id="2"/>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2.1项目内容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2.1.1、采购内容：本项目是对广东财经大学佛山三水校区（广东省</w:t>
      </w:r>
      <w:r>
        <w:rPr>
          <w:rFonts w:hint="eastAsia" w:asciiTheme="minorEastAsia" w:hAnsiTheme="minorEastAsia" w:eastAsiaTheme="minorEastAsia"/>
          <w:sz w:val="23"/>
          <w:szCs w:val="23"/>
        </w:rPr>
        <w:t>佛山市三水区云东海旅游区学海路1号</w:t>
      </w:r>
      <w:r>
        <w:rPr>
          <w:rFonts w:hint="eastAsia" w:cs="仿宋_GB2312" w:asciiTheme="minorEastAsia" w:hAnsiTheme="minorEastAsia" w:eastAsiaTheme="minorEastAsia"/>
          <w:sz w:val="24"/>
        </w:rPr>
        <w:t>）的高压电气设备提供维护保养服务，保障学校供电安全，避免因高压电气设备故障停电造成对教学科研及师生生活的不利影响。</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2.1.2、维保服务范围：包括高压柜、继电保护装置、变压器及附属设备等的操作配电室内所有10kv电压等级的设备、10KV进线电缆线路（及其附属）、变压器低压侧至低压进线柜开关上端（及其附属）、高压室防小动物安全设施等校区全部高压设备（设施）等的日常巡视、维护、保养、检测检修(含高压操作工具的定期检验)及高压设备停送电操作等。</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2.1.3、项目预算：投标最高限价人民币76000元，要求采购人在报价时不得超出项目预算限价，否则视为无效投标。</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2.1.4、维保合同期：一年。</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color w:val="0000FF"/>
          <w:sz w:val="24"/>
        </w:rPr>
        <w:t>2.1.5、</w:t>
      </w:r>
      <w:r>
        <w:rPr>
          <w:rFonts w:hint="eastAsia" w:cs="仿宋_GB2312" w:asciiTheme="minorEastAsia" w:hAnsiTheme="minorEastAsia" w:eastAsiaTheme="minorEastAsia"/>
          <w:sz w:val="24"/>
        </w:rPr>
        <w:t>佛山三水校区高压电气设备情况</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佛山三水校区高压柜、干式变压器台数容量等基本情况如下（校区全部高压电气设备设施的具体品牌、规格、型号数量等，以现场实际情况为准）：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广东财经大学佛山三水校区主要高压电气设备情况表：</w:t>
      </w:r>
    </w:p>
    <w:tbl>
      <w:tblPr>
        <w:tblStyle w:val="4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301"/>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设备设施名称（型号）</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数量</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变压器</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(630kVA  4台)</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(800kVA  5台)</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(1000kVA  1台)</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（1600kVA  1台）</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（2500kVA  1台）</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高压柜</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直流屏</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进线电缆</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高压电缆（高压柜至各变压器的电缆，含两端电缆头）</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30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变压器室高压室</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间</w:t>
            </w:r>
          </w:p>
        </w:tc>
      </w:tr>
    </w:tbl>
    <w:p>
      <w:pPr>
        <w:spacing w:line="360" w:lineRule="auto"/>
        <w:ind w:firstLine="480" w:firstLineChars="200"/>
        <w:rPr>
          <w:rFonts w:cs="仿宋_GB2312" w:asciiTheme="minorEastAsia" w:hAnsiTheme="minorEastAsia" w:eastAsiaTheme="minorEastAsia"/>
          <w:color w:val="FF0000"/>
          <w:sz w:val="24"/>
        </w:rPr>
      </w:pPr>
    </w:p>
    <w:p>
      <w:pPr>
        <w:spacing w:line="360" w:lineRule="auto"/>
        <w:rPr>
          <w:rFonts w:cs="仿宋_GB2312" w:asciiTheme="minorEastAsia" w:hAnsiTheme="minorEastAsia" w:eastAsiaTheme="minorEastAsia"/>
          <w:sz w:val="24"/>
        </w:rPr>
      </w:pPr>
      <w:bookmarkStart w:id="5" w:name="_Toc329763923"/>
      <w:bookmarkEnd w:id="5"/>
      <w:bookmarkStart w:id="6" w:name="_Toc294592151"/>
      <w:bookmarkEnd w:id="6"/>
      <w:bookmarkStart w:id="7" w:name="_Toc329763951"/>
      <w:bookmarkEnd w:id="7"/>
      <w:bookmarkStart w:id="8" w:name="_Toc329763952"/>
      <w:bookmarkEnd w:id="8"/>
      <w:bookmarkStart w:id="9" w:name="_Toc294276426"/>
      <w:bookmarkEnd w:id="9"/>
      <w:bookmarkStart w:id="10" w:name="_Toc329763948"/>
      <w:bookmarkEnd w:id="10"/>
      <w:bookmarkStart w:id="11" w:name="_Toc329763949"/>
      <w:bookmarkEnd w:id="11"/>
      <w:bookmarkStart w:id="12" w:name="_Toc329763950"/>
      <w:bookmarkEnd w:id="12"/>
      <w:bookmarkStart w:id="13" w:name="_Toc329763944"/>
      <w:bookmarkEnd w:id="13"/>
      <w:bookmarkStart w:id="14" w:name="_Toc294592124"/>
      <w:bookmarkEnd w:id="14"/>
      <w:bookmarkStart w:id="15" w:name="_Toc329763925"/>
      <w:bookmarkEnd w:id="15"/>
      <w:bookmarkStart w:id="16" w:name="_Toc329763901"/>
      <w:bookmarkEnd w:id="16"/>
      <w:bookmarkStart w:id="17" w:name="_Toc329763945"/>
      <w:bookmarkEnd w:id="17"/>
      <w:bookmarkStart w:id="18" w:name="_Toc329763937"/>
      <w:bookmarkEnd w:id="18"/>
      <w:bookmarkStart w:id="19" w:name="_Toc329763938"/>
      <w:bookmarkEnd w:id="19"/>
      <w:bookmarkStart w:id="20" w:name="_Toc329763946"/>
      <w:bookmarkEnd w:id="20"/>
      <w:bookmarkStart w:id="21" w:name="_Toc329763936"/>
      <w:bookmarkEnd w:id="21"/>
      <w:bookmarkStart w:id="22" w:name="_Toc329763834"/>
      <w:bookmarkEnd w:id="22"/>
      <w:bookmarkStart w:id="23" w:name="_Toc329763930"/>
      <w:bookmarkEnd w:id="23"/>
      <w:bookmarkStart w:id="24" w:name="_Toc329763947"/>
      <w:bookmarkEnd w:id="24"/>
      <w:bookmarkStart w:id="25" w:name="_Toc329763939"/>
      <w:bookmarkEnd w:id="25"/>
      <w:bookmarkStart w:id="26" w:name="_Toc329763942"/>
      <w:bookmarkEnd w:id="26"/>
      <w:bookmarkStart w:id="27" w:name="_Toc329763933"/>
      <w:bookmarkEnd w:id="27"/>
      <w:bookmarkStart w:id="28" w:name="_Toc329763931"/>
      <w:bookmarkEnd w:id="28"/>
      <w:bookmarkStart w:id="29" w:name="_Toc329763941"/>
      <w:bookmarkEnd w:id="29"/>
      <w:bookmarkStart w:id="30" w:name="_Toc329763926"/>
      <w:bookmarkEnd w:id="30"/>
      <w:bookmarkStart w:id="31" w:name="_Toc329763920"/>
      <w:bookmarkEnd w:id="31"/>
      <w:bookmarkStart w:id="32" w:name="_Toc329763902"/>
      <w:bookmarkEnd w:id="32"/>
      <w:bookmarkStart w:id="33" w:name="_Toc329763867"/>
      <w:bookmarkEnd w:id="33"/>
      <w:bookmarkStart w:id="34" w:name="_Toc329763943"/>
      <w:bookmarkEnd w:id="34"/>
      <w:bookmarkStart w:id="35" w:name="_Toc329763935"/>
      <w:bookmarkEnd w:id="35"/>
      <w:bookmarkStart w:id="36" w:name="_Toc329763929"/>
      <w:bookmarkEnd w:id="36"/>
      <w:bookmarkStart w:id="37" w:name="_Toc294272287"/>
      <w:bookmarkEnd w:id="37"/>
      <w:bookmarkStart w:id="38" w:name="_Toc329763940"/>
      <w:bookmarkEnd w:id="38"/>
      <w:bookmarkStart w:id="39" w:name="_Toc329763919"/>
      <w:bookmarkEnd w:id="39"/>
      <w:bookmarkStart w:id="40" w:name="_Toc329763921"/>
      <w:bookmarkEnd w:id="40"/>
      <w:bookmarkStart w:id="41" w:name="_Toc294586917"/>
      <w:bookmarkEnd w:id="41"/>
      <w:bookmarkStart w:id="42" w:name="_Toc329763934"/>
      <w:bookmarkEnd w:id="42"/>
      <w:bookmarkStart w:id="43" w:name="_Toc329763924"/>
      <w:bookmarkEnd w:id="43"/>
      <w:bookmarkStart w:id="44" w:name="_Toc329763928"/>
      <w:bookmarkEnd w:id="44"/>
      <w:bookmarkStart w:id="45" w:name="_Toc329763932"/>
      <w:bookmarkEnd w:id="45"/>
      <w:bookmarkStart w:id="46" w:name="_Toc294269586"/>
      <w:bookmarkEnd w:id="46"/>
      <w:bookmarkStart w:id="47" w:name="_Toc329763927"/>
      <w:bookmarkEnd w:id="47"/>
      <w:bookmarkStart w:id="48" w:name="_Toc294194061"/>
      <w:bookmarkEnd w:id="48"/>
      <w:bookmarkStart w:id="49" w:name="_Toc329763953"/>
      <w:bookmarkEnd w:id="49"/>
      <w:bookmarkStart w:id="50" w:name="_Toc294271689"/>
      <w:bookmarkEnd w:id="50"/>
      <w:bookmarkStart w:id="51" w:name="_Toc329763922"/>
      <w:bookmarkEnd w:id="51"/>
      <w:bookmarkStart w:id="52" w:name="_Toc294271990"/>
      <w:bookmarkEnd w:id="52"/>
      <w:bookmarkStart w:id="53" w:name="_Toc294275147"/>
      <w:bookmarkEnd w:id="53"/>
      <w:bookmarkStart w:id="54" w:name="_Toc329763900"/>
      <w:bookmarkEnd w:id="54"/>
      <w:bookmarkStart w:id="55" w:name="_Toc424717676"/>
      <w:r>
        <w:rPr>
          <w:rFonts w:hint="eastAsia" w:cs="仿宋_GB2312" w:asciiTheme="minorEastAsia" w:hAnsiTheme="minorEastAsia" w:eastAsiaTheme="minorEastAsia"/>
          <w:sz w:val="24"/>
        </w:rPr>
        <w:t xml:space="preserve">2.2 </w:t>
      </w:r>
      <w:bookmarkEnd w:id="55"/>
      <w:r>
        <w:rPr>
          <w:rFonts w:hint="eastAsia" w:cs="仿宋_GB2312" w:asciiTheme="minorEastAsia" w:hAnsiTheme="minorEastAsia" w:eastAsiaTheme="minorEastAsia"/>
          <w:sz w:val="24"/>
        </w:rPr>
        <w:t>服务需求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校区全部高压变配电设备设施的具体品牌、规格、型号、数量等，以现场实际情况为准。维保费用，在全面满足本项目需求的基础上，已包含校区全部高压电气设备设施的维护、维修、保养、税费、运输、装卸、安装、调试、技术指导、培训、咨询、检测、润滑、清洁、单次维修200元（含）以内的设备材料费、以及完成技术服务需求全部工作的全部费用。中标人漏报的单价或每单价报价中漏报、少报的费用，视为此项费用已隐含在投标报价中，中标后不得再向采购人收取任何费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2.2.2、在合同期内，采购人有可能更换、大修或少量新增各校区高压电气设备，更换、大修及新增后的设备仍然属于校区高压电气设备维保服务范围内，不论各类高压电气设备设施的规格型号是否变化、数量数否增加，均不再增加额外维保费用，各中标人自行测算报价时应充分考虑相关因素。</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2.2.3、对出现的设备故障，由中标人编制维修方案和费用预算，采购人审核同意后，单次维修200元（含）以内的设备材料费由中标人承担，单次维修200元以上的设备材料可采用议价的方式向中标人采购，也可由采购人负责提供，中标人提供免人工费安装调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2.2.4、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2.2.5、中标人投入本项目的所有人员的差旅费、服装费以及办公用品、养护仪器设备工具等费用，均包含均在投标报价内。</w:t>
      </w:r>
    </w:p>
    <w:p>
      <w:pPr>
        <w:spacing w:line="360" w:lineRule="auto"/>
        <w:ind w:firstLine="480" w:firstLineChars="200"/>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000000" w:themeColor="text1"/>
          <w:sz w:val="24"/>
        </w:rPr>
        <w:t>2.2.6、中</w:t>
      </w:r>
      <w:r>
        <w:rPr>
          <w:rFonts w:hint="eastAsia" w:cs="仿宋_GB2312" w:asciiTheme="minorEastAsia" w:hAnsiTheme="minorEastAsia" w:eastAsiaTheme="minorEastAsia"/>
          <w:sz w:val="24"/>
        </w:rPr>
        <w:t>标人不得将委托管理项目转包给第三方管理，不允许分包或转包管理责任和管理事宜。</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2.2.7、维护保养服务的技术服务要求</w:t>
      </w:r>
    </w:p>
    <w:p>
      <w:pPr>
        <w:spacing w:line="360" w:lineRule="auto"/>
        <w:ind w:firstLine="720" w:firstLineChars="300"/>
        <w:rPr>
          <w:rFonts w:cs="仿宋_GB2312" w:asciiTheme="minorEastAsia" w:hAnsiTheme="minorEastAsia" w:eastAsiaTheme="minorEastAsia"/>
          <w:sz w:val="24"/>
        </w:rPr>
      </w:pPr>
      <w:r>
        <w:rPr>
          <w:rFonts w:hint="eastAsia" w:cs="仿宋_GB2312" w:asciiTheme="minorEastAsia" w:hAnsiTheme="minorEastAsia" w:eastAsiaTheme="minorEastAsia"/>
          <w:sz w:val="24"/>
        </w:rPr>
        <w:t>2.2.7.1、维保服务执行标准：包括（但不限于）《电气设备预防性试验规程》（DL/T596-1996）、《电气装置安装工程电气设备交接试验标准》（GB50150－2016）、《继电保护及安全自动装置技术规程》（GB/T14285－2006）、《静态继电保护及安全自动装置通用技术准则》（DL/T 478－2013）等国家、电监会及南方电网相关技术规范、规程和标准。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2.2.7.2、中标人应依据高压电气设备维护保养规范的要求和标准制定《高压电气设备维护保养年度计划表》，送学校审核。保养期内，中标人按签核的《高压设备维护保养计划表》的要求、内容和供电部门的有关规定进行维护保养，以及双方约定的保养项目、时间进行工作。每次保养工作完毕，双方应在《高压电气设备维护保养记录》上签名确认，存档。</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2.2.7.3、中标人提供24小时抢修响应服务，高压电气设备系统发生故障或线路跳闸时，中标人应在接到报修通知1小时内派员到达现场进行故障处理和维修。如遇突发事件需要对高压配电系统倒闸时，中标人应在接到通知后立刻到达现场操作。抢修人员必须配备相应检测仪器设备和充足的零配件，确保抢修工作能及时开展，最大程度缩短抢修时间，使电网快速恢复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2.2.7.4、高压环网柜、变压器等高压电气设备应定期进行全面检查维护，每月2次对用电设备进行不停电巡查，并将巡查结果书面报告采购人；按《电气设备预防性试验规范》要求，每年一次对用电设备进行清洁、铜绿清除、保养及预防性试验，预防性试验一般安排在每年寒假期间进行中标人必须在预防性试验前做好各项准备工作（包括联系供电局办理停电手续、备品备件购买、人员设备投入等），在采购人指定的时间内（含夜间、节假日等特殊时间）完成所有试验工作，并按时恢复正常供电。预防性试验中发现的不合格项目需报采购人现场确认。</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2.2.7.5、如因非正常损坏而导致高压电气设备需要维修及零件更换，中标人应及时通知学校，提出对该项目的维修期限和报价清单。中标人拆除的设备（配件），必须交采购人按规定统一处置，不得擅自处理。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2.2.7.6、中标人工作人员对高压配电设备进行维修保养时，必须事先通知学校用电管理方并获得同意。作业人员应统一服装、佩</w:t>
      </w:r>
      <w:r>
        <w:rPr>
          <w:rFonts w:hint="eastAsia" w:cs="仿宋_GB2312" w:asciiTheme="minorEastAsia" w:hAnsiTheme="minorEastAsia" w:eastAsiaTheme="minorEastAsia"/>
          <w:sz w:val="24"/>
          <w:lang w:val="en-US" w:eastAsia="zh-CN"/>
        </w:rPr>
        <w:t>戴</w:t>
      </w:r>
      <w:r>
        <w:rPr>
          <w:rFonts w:hint="eastAsia" w:cs="仿宋_GB2312" w:asciiTheme="minorEastAsia" w:hAnsiTheme="minorEastAsia" w:eastAsiaTheme="minorEastAsia"/>
          <w:sz w:val="24"/>
        </w:rPr>
        <w:t>工作牌。在高压电气设备维修、保养工作期间，中标人必须操作现场放置醒目的标牌提示或张贴告示通知、标语。</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2.2.7.7、保养期内，高压电气设备出现紧急状况或学校提出特殊紧急的维护、保养、检查要求时，中标人必须立即做出响应和采取相应措施，确保配电系统的正常运行。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2.2.7.8、维保合同期内，学校有校庆、研究生入学考试、四六级英语考试、招生咨询及校园开放日、新生接待、毕业生供需见面会等重大活动、重要培训或特殊情况时（以采购人书面或采购人项目负责人文字通知为准），中标人应按采购人要求事先对所涉及的高压设备进行检查，确保设备运行正常，并做好各项应急处置准备工作；活动期间至少派遣2名专业技术人员驻场值守，提供全程监护服务，确保活动场地供电保障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2.2.7.9、中标人从业人员必须是持有特种设备作业人员资格证书，发生人员变更，需及时书面通知采购人。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2.2.7.10、中标人应及时向采购人反馈在巡视中发现的用电问题和安全隐患问题，并向采购人提供用电建议和处理方案，以保证采购人长期安全、经济用电。协助采购人做好各项触电、电气火灾的安全预防工作。向采购人传递最新的用电政策。根据采购人要求，开展安全用电知识的培训。</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2.2.8 预防性试验工作内容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2.2.8.1、电力变压器试验项目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1）绕组连同套管所有分接头的直流电阻测试；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2）绕组连同套管的绝缘电阻和吸收比或极化系数测试；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4）测温装置及其二次回路试验；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2.2.8.2、真空断路器的试验项目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2）交流耐压试验(断路器主回路对地、相间及断口）；</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3）辅助回路和控制回路交流耐压试验；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4）导电回路电阻试验；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5）断路器的合闸时间和分闸时间，分、合闸的同期性，合闸时的弹跳过程试验；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6）操作机构合闸接触器和分、合闸电磁铁的动作电压试验；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7）合闸接触器和分合闸电磁铁线圈的绝缘电阻和直流电阻试验。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2.2.8.3、高压开关柜的试验项目</w:t>
      </w:r>
      <w:bookmarkStart w:id="95" w:name="_GoBack"/>
      <w:bookmarkEnd w:id="95"/>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3）断路器、隔离开关及隔离插头的导电回路电阻试验；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4）辅助回路和控制回路绝缘电阻试验；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5）辅助回路和控制回路交流耐压试验；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6）防误操作性能检查。</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2.2.8.4、橡塑绝缘电力电缆试验项目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1）主绝缘的绝缘电阻检测；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2）外护套绝缘电阻检测；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3）外护套直流耐压试验；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4）主绝缘交流耐压试验；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5）局部放电测试；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6）带电测试外护层接地电流。</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2.2.8.5、金属氧化物避雷器试验项目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1）运行电压下的交流泄漏电流带电测试；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2）直流1mA电压U1mA及0.75U1mA下的泄漏电流试验；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3）绝缘电阻检测。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2.2.8.6、电房接地网试验项目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接地电阻测试。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2.2.8.7、母线试验项目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2.2.8.8、支柱绝缘子试验项目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3）绝缘子表面的污秽度（ESDD和NSDD）测试。</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注：以上所有设备试验完成后进行螺丝紧固，清洁除尘。</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备注：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1）试验前，试验人员应了解清楚现场的安全危险点和注意事项。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现场试验应严格遵守《电气设备预防性试验规程》（Q/CSG114002-2011）、《电业安全工作规程》中有关的安全条款、高压配电设备维护保养后达到《10KV以下变电设计规范》（GB50053—94）、《电气装置安装工程  高压电器施工及验收规范》（GBJ147—90）等国家相关规定的标准以及其他各项规章制度。</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2）严格杜绝《广州供电局安全生产奖惩规定》（F.01.00.10/G100-0018-0807-728）所列的101种作业现场违章行为。要保证试验全过程的安全，特别是耐压试验前应认真检查无误后方可进行。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3）严格执行我司制定的各项技术安全措施，特别是《典型作业安全生产危险点控制》和《试 验标准化现场规范作业指导书》中的有关要求。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4）应根据现场实际的施工环境条件安全地开展试验，对有发生触电危险的地方安排专人监护。</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5）试验过程中如发生异常应立即停止试验，查明原因，根据实际情况决定可继续进行试验或终止本次试验。</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2.2.9、设备月度巡检管理方案</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2.2.9.1、高压电缆和桥架巡视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1）电缆接头、高压分支箱每月检查2次。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2）高低压电缆井的接头每月巡视检查2次。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3）高低压电缆线路每月巡视检查2次。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4）高压进线电缆每月巡视检查2次。 </w:t>
      </w:r>
      <w:r>
        <w:rPr>
          <w:rFonts w:hint="eastAsia" w:cs="仿宋_GB2312" w:asciiTheme="minorEastAsia" w:hAnsiTheme="minorEastAsia" w:eastAsiaTheme="minorEastAsia"/>
          <w:sz w:val="24"/>
        </w:rPr>
        <w:tab/>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A  对高压电缆电路，应查看桥架是否扣整严实，防鼠封堵是否牢固，高低压电缆桥架应完好无破损，发现异常应及时处理并作好记录。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B 地下室电房进线桥架电缆有无渗水现象。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C 查看电缆井沟内有无积水和污物，如有应及时排干积水清除污物。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D 井沟内的电缆、电缆头应完整清洁，接地线良好，无发热破裂现象。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E 外路电缆的外皮是否完整，支撑是否牢固。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2.2.9.2、高压柜、高压环网柜巡视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 开关柜屏上指示灯、带电显示器指示应正常，操作方式选择开关、机械操作把手，投切位置应正确。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 控制电源及电压回路电源分合闸指示正确；分、合闸位置指示器与实际运行方式相符。</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 屏面表计、继电器工作应正常，无异声、异味及过热现象，操作方式切换开关正常在要求的（就地或远控）位置。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 柜内照明正常，通过观察窗观察柜内设备应正常；绝缘子应完好,无破损。</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 柜内应无放电声、异味和不均匀的机械噪声,柜体温升正常。</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6）柜体、母线槽应无过热、变形、下沉，各封闭板螺丝应齐全，无松动、锈蚀，接地应牢固。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真空断路器灭弧室应无漏气,灭弧室内屏蔽罩如为玻璃材料的表面应呈金黄色光泽,无氧化发黑迹象。SF6断路器气体压力应正常；瓷质部分及绝缘隔板应完好，无闪络放电痕迹,接头及断路器无发热，对于无法直接进行测温的封闭式开关柜，巡视时可用手触摸各开关柜的柜体，以确认开关柜是否发热。</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8） 断路器操作结构应完好,直流接触器有无积尘,二次端子有无锈蚀。</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 接地牢固可靠,封闭性能及防小动物设施应完好。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2.2.9.3、变压器巡视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巡视时间：每月巡视2次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巡视内容及要求：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1）变压器温度是否正常，温控器完好，温度报警值在130摄氏度,超温跳闸值在150摄氏度,自动起风机值在90摄氏度,自动停风机值在80摄氏度。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2）器身及高低压接线端有无发热变色迹象，有无异常响声和气味。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3）外观无破损、无震动。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4）各连接导线、母排温升正常。</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2.2.9.4、配电房环境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巡视类容及要求：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1）配电房门上就有相应的配电房标识，门锁完好。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2）配电室内严禁堆放杂物，做到室内设备无积灰、油泥、地面无积尘、无积水，环境清洁整齐。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3）配电房内照明足够良好、通风设备良好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4）消防设施齐全有效。</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5）配电室室内环境温度不应超过40摄式度，相对湿度应小于80%。</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6）配电房内排水通畅，屋面、地下无渗水漏水现象。防虫、防鼠设施完善。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7）专用工具安全用品应放置在操作方便的指定位置。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2.2.9.5、按月度巡检服务，每次巡检填写巡检报告，定期对设备及电房进行清洁；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2.2.10、应急服务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2.2.10.1、中标人巡视期间发现设备故障和事故，立即报告采购方。中标人迅速检查设备故障原因，采取果断的应急措施，并组织力量迅速处理。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2.2.10.2、发生重大设备故障或较大事故由中标人调动资源协调解决。</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2.2.10.3、设备故障或事故排除后，中标人必须真实</w:t>
      </w:r>
      <w:r>
        <w:rPr>
          <w:rFonts w:hint="eastAsia" w:cs="仿宋_GB2312" w:asciiTheme="minorEastAsia" w:hAnsiTheme="minorEastAsia" w:eastAsiaTheme="minorEastAsia"/>
          <w:sz w:val="24"/>
          <w:lang w:val="en-US" w:eastAsia="zh-CN"/>
        </w:rPr>
        <w:t>详</w:t>
      </w:r>
      <w:r>
        <w:rPr>
          <w:rFonts w:hint="eastAsia" w:cs="仿宋_GB2312" w:asciiTheme="minorEastAsia" w:hAnsiTheme="minorEastAsia" w:eastAsiaTheme="minorEastAsia"/>
          <w:sz w:val="24"/>
        </w:rPr>
        <w:t>细地对故障或事故进行记录，说明、原因、处理经过，提出预防措施。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2.2.10.4、中标人提供7×24技术热线电话服务，提供技术响应和技术咨询服务，提供7×24故障应急响应和维护服务。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如采购人用电的故障，中标人在5分钟时间内响应，除不可坑因数外1小时内到达故障现场进行处理。到达故障现场后，立即进行设备维护或通过更换设备零配件来保障设备恢复正常运行。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如有配件损坏更换，中标人免收人工安装费，更换配件成本按实际情况计算。</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2.2.11、拟投入人员基本要求</w:t>
      </w:r>
    </w:p>
    <w:tbl>
      <w:tblPr>
        <w:tblStyle w:val="4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11"/>
        <w:gridCol w:w="10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689"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岗位</w:t>
            </w:r>
          </w:p>
        </w:tc>
        <w:tc>
          <w:tcPr>
            <w:tcW w:w="1080"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最低人数要求</w:t>
            </w:r>
          </w:p>
        </w:tc>
        <w:tc>
          <w:tcPr>
            <w:tcW w:w="4680"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基本资历条件要求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项目经理</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4680" w:type="dxa"/>
            <w:vAlign w:val="center"/>
          </w:tcPr>
          <w:p>
            <w:pPr>
              <w:rPr>
                <w:rFonts w:cs="仿宋_GB2312" w:asciiTheme="minorEastAsia" w:hAnsiTheme="minorEastAsia" w:eastAsiaTheme="minorEastAsia"/>
                <w:sz w:val="24"/>
              </w:rPr>
            </w:pPr>
            <w:r>
              <w:rPr>
                <w:rFonts w:hint="eastAsia" w:ascii="宋体" w:hAnsi="宋体"/>
                <w:sz w:val="23"/>
                <w:szCs w:val="23"/>
              </w:rPr>
              <w:t>具有项目经理资格证</w:t>
            </w: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项目技术负责人</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4680"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电力、电气类工程师，持有特种设备（有高压设备维修）作业人员资格证书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监护人员</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4680"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电力、电气类工程师，持有特种类电工网作业许可证。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4</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电工</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4680"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取得高压类电工进网作业许可证。</w:t>
            </w:r>
          </w:p>
        </w:tc>
      </w:tr>
    </w:tbl>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注：投标人必须满足以上人员的最低数量要求且必须具备特种设备作业人员资格证书及本单位购买社保证明材料。</w:t>
      </w:r>
    </w:p>
    <w:p>
      <w:pPr>
        <w:spacing w:line="360" w:lineRule="auto"/>
        <w:rPr>
          <w:rFonts w:cs="仿宋_GB2312" w:asciiTheme="minorEastAsia" w:hAnsiTheme="minorEastAsia" w:eastAsiaTheme="minorEastAsia"/>
          <w:sz w:val="24"/>
        </w:rPr>
      </w:pPr>
      <w:r>
        <w:rPr>
          <w:rFonts w:hint="eastAsia" w:asciiTheme="minorEastAsia" w:hAnsiTheme="minorEastAsia" w:eastAsiaTheme="minorEastAsia"/>
          <w:b/>
          <w:sz w:val="24"/>
        </w:rPr>
        <w:t xml:space="preserve">2.3 </w:t>
      </w:r>
      <w:r>
        <w:rPr>
          <w:rFonts w:hint="eastAsia" w:cs="仿宋_GB2312" w:asciiTheme="minorEastAsia" w:hAnsiTheme="minorEastAsia" w:eastAsiaTheme="minorEastAsia"/>
          <w:sz w:val="24"/>
        </w:rPr>
        <w:t>商务要求</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2.3</w:t>
      </w: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cs="仿宋_GB2312" w:asciiTheme="minorEastAsia" w:hAnsiTheme="minorEastAsia" w:eastAsiaTheme="minorEastAsia"/>
          <w:sz w:val="24"/>
        </w:rPr>
        <w:t>、履约保证金</w:t>
      </w:r>
    </w:p>
    <w:p>
      <w:pPr>
        <w:spacing w:line="360" w:lineRule="auto"/>
        <w:ind w:firstLine="480"/>
        <w:rPr>
          <w:rFonts w:cs="仿宋_GB2312" w:asciiTheme="minorEastAsia" w:hAnsiTheme="minorEastAsia" w:eastAsiaTheme="minorEastAsia"/>
          <w:sz w:val="24"/>
        </w:rPr>
      </w:pPr>
      <w:r>
        <w:rPr>
          <w:rFonts w:hint="eastAsia" w:cs="仿宋_GB2312" w:asciiTheme="minorEastAsia" w:hAnsiTheme="minorEastAsia" w:eastAsiaTheme="minorEastAsia"/>
          <w:sz w:val="24"/>
        </w:rPr>
        <w:t>中标人在双方签订合同后</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个工作日内，以支票或银行转账的方式向采购人提交履约保证金。履约保证金额为5000元。若中标人在合同期限内无违约行为或致采购人利益受损行为的，则履约保证金在合同有效期满后</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个工作日内由采购人无息退还。</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.2、付款方式</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1）合同签订后，每半年支付一次，每次支付年度维保合同总额的50</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。中标人需提供合法等额增值税发票给采购人。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2）如遇节假日或学校寒暑假期，支付时间相应顺延，具体以学校财务部门办理时限为准。</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.3、维保合同期末，中标人必须无条件配合采购人做好移交工作。</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.4、违约责任</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.4.1合同期内，中标人如违反下列条款之一的，采购人有权立即终止合同，并没收合同履约保证金：</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1）不能达到《电气装置安装工程</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高压电器施工及验收规范》等国家相关规定的标准；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2)设备月度巡检和设备预防性试验工作不能达到上述约定要求的：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 应急抢修服务响应时间，三次不能达到合同要求；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4)实施保养维护时违反操作安全规程，玩忽职守，造成供电事故或设备损坏的；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5)采取欺瞒手段，欺骗采购人更换设备；</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6)采购的设备（配件）以次充好、属于不合格产品的；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7)中标人员工出现违法、违纪、违规行为，给采购人造成损失的。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2.3.4.2 维保合同期内，中标人应自觉接受电力部门监督管理，保证采购人高低压电气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理。</w:t>
      </w:r>
    </w:p>
    <w:p>
      <w:pPr>
        <w:spacing w:line="360" w:lineRule="auto"/>
        <w:ind w:firstLine="460" w:firstLineChars="200"/>
        <w:rPr>
          <w:rFonts w:cs="仿宋_GB2312" w:asciiTheme="minorEastAsia" w:hAnsiTheme="minorEastAsia" w:eastAsiaTheme="minorEastAsia"/>
          <w:sz w:val="24"/>
        </w:rPr>
      </w:pPr>
      <w:r>
        <w:rPr>
          <w:rFonts w:hint="eastAsia" w:asciiTheme="minorEastAsia" w:hAnsiTheme="minorEastAsia" w:eastAsiaTheme="minorEastAsia"/>
          <w:sz w:val="23"/>
          <w:szCs w:val="23"/>
        </w:rPr>
        <w:t>2.3.4.3</w:t>
      </w:r>
      <w:r>
        <w:rPr>
          <w:rFonts w:hint="eastAsia" w:cs="仿宋_GB2312" w:asciiTheme="minorEastAsia" w:hAnsiTheme="minorEastAsia" w:eastAsiaTheme="minorEastAsia"/>
          <w:sz w:val="24"/>
        </w:rPr>
        <w:t>中标人员工出现违法、违纪、违规行为，所造成的一切后果及损失，由中标人承担责任和负责赔偿。后果严重的，采购人有权单方面解除合同，并追究相关法律责任。</w:t>
      </w:r>
    </w:p>
    <w:p>
      <w:pPr>
        <w:spacing w:line="360" w:lineRule="auto"/>
        <w:rPr>
          <w:rFonts w:cs="仿宋_GB2312" w:asciiTheme="minorEastAsia" w:hAnsiTheme="minorEastAsia" w:eastAsiaTheme="minorEastAsia"/>
          <w:sz w:val="24"/>
        </w:rPr>
      </w:pPr>
      <w:r>
        <w:rPr>
          <w:rFonts w:hint="eastAsia" w:asciiTheme="minorEastAsia" w:hAnsiTheme="minorEastAsia" w:eastAsiaTheme="minorEastAsia"/>
          <w:b/>
          <w:sz w:val="24"/>
        </w:rPr>
        <w:t xml:space="preserve">2.4 </w:t>
      </w:r>
      <w:r>
        <w:rPr>
          <w:rFonts w:hint="eastAsia" w:cs="仿宋_GB2312" w:asciiTheme="minorEastAsia" w:hAnsiTheme="minorEastAsia" w:eastAsiaTheme="minorEastAsia"/>
          <w:sz w:val="24"/>
        </w:rPr>
        <w:t>其他要求</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需有电力部门颁发的承装（修、试）电力施工许可证。</w:t>
      </w:r>
    </w:p>
    <w:p>
      <w:pPr>
        <w:spacing w:line="360" w:lineRule="auto"/>
        <w:ind w:firstLine="460" w:firstLineChars="200"/>
        <w:rPr>
          <w:rFonts w:asciiTheme="minorEastAsia" w:hAnsiTheme="minorEastAsia" w:eastAsiaTheme="minorEastAsia"/>
          <w:sz w:val="23"/>
          <w:szCs w:val="23"/>
        </w:rPr>
      </w:pPr>
      <w:r>
        <w:rPr>
          <w:rFonts w:asciiTheme="minorEastAsia" w:hAnsiTheme="minorEastAsia" w:eastAsiaTheme="minorEastAsia"/>
          <w:sz w:val="23"/>
          <w:szCs w:val="23"/>
        </w:rPr>
        <w:br w:type="page"/>
      </w:r>
    </w:p>
    <w:bookmarkEnd w:id="3"/>
    <w:bookmarkEnd w:id="4"/>
    <w:p>
      <w:pPr>
        <w:pStyle w:val="2"/>
        <w:jc w:val="center"/>
        <w:rPr>
          <w:rFonts w:asciiTheme="minorEastAsia" w:hAnsiTheme="minorEastAsia" w:eastAsiaTheme="minorEastAsia"/>
          <w:bCs w:val="0"/>
          <w:color w:val="000000"/>
          <w:sz w:val="32"/>
          <w:szCs w:val="32"/>
        </w:rPr>
      </w:pPr>
      <w:bookmarkStart w:id="56" w:name="_Toc8283"/>
      <w:r>
        <w:rPr>
          <w:rFonts w:hint="eastAsia" w:asciiTheme="minorEastAsia" w:hAnsiTheme="minorEastAsia" w:eastAsiaTheme="minorEastAsia"/>
          <w:bCs w:val="0"/>
          <w:color w:val="000000"/>
          <w:sz w:val="32"/>
          <w:szCs w:val="32"/>
        </w:rPr>
        <w:t>第三部分  投标人须知</w:t>
      </w:r>
      <w:bookmarkEnd w:id="56"/>
    </w:p>
    <w:p>
      <w:pPr>
        <w:pStyle w:val="3"/>
        <w:numPr>
          <w:ilvl w:val="0"/>
          <w:numId w:val="3"/>
        </w:numPr>
        <w:spacing w:before="0" w:after="0" w:line="400" w:lineRule="exact"/>
        <w:rPr>
          <w:rFonts w:asciiTheme="minorEastAsia" w:hAnsiTheme="minorEastAsia" w:eastAsiaTheme="minorEastAsia"/>
          <w:b w:val="0"/>
          <w:color w:val="000000"/>
          <w:sz w:val="23"/>
          <w:szCs w:val="23"/>
        </w:rPr>
      </w:pPr>
      <w:bookmarkStart w:id="57" w:name="_Toc275435949"/>
      <w:bookmarkStart w:id="58" w:name="_Toc298325851"/>
      <w:bookmarkStart w:id="59" w:name="_Toc22199"/>
      <w:r>
        <w:rPr>
          <w:rFonts w:hint="eastAsia" w:asciiTheme="minorEastAsia" w:hAnsiTheme="minorEastAsia" w:eastAsiaTheme="minorEastAsia"/>
          <w:b w:val="0"/>
          <w:color w:val="000000"/>
          <w:sz w:val="23"/>
          <w:szCs w:val="23"/>
        </w:rPr>
        <w:t>说明</w:t>
      </w:r>
      <w:bookmarkEnd w:id="57"/>
      <w:bookmarkEnd w:id="58"/>
      <w:bookmarkEnd w:id="59"/>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firstLine="690" w:firstLine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pStyle w:val="39"/>
        <w:shd w:val="clear" w:color="auto" w:fill="FFFFFF"/>
        <w:spacing w:before="0" w:beforeAutospacing="0" w:after="0" w:afterAutospacing="0" w:line="293" w:lineRule="atLeast"/>
        <w:ind w:left="840"/>
        <w:rPr>
          <w:rFonts w:asciiTheme="minorEastAsia" w:hAnsiTheme="minorEastAsia" w:eastAsiaTheme="minorEastAsia"/>
          <w:kern w:val="2"/>
          <w:sz w:val="23"/>
          <w:szCs w:val="23"/>
        </w:rPr>
      </w:pPr>
      <w:r>
        <w:rPr>
          <w:rFonts w:hint="eastAsia" w:asciiTheme="minorEastAsia" w:hAnsiTheme="minorEastAsia" w:eastAsiaTheme="minorEastAsia"/>
          <w:kern w:val="2"/>
          <w:sz w:val="23"/>
          <w:szCs w:val="23"/>
        </w:rPr>
        <w:t>3.1.3.1投标人须具有独立法人资格，持有相关部门核发的经营证照；</w:t>
      </w:r>
    </w:p>
    <w:p>
      <w:pPr>
        <w:spacing w:line="360" w:lineRule="auto"/>
        <w:ind w:firstLine="920" w:firstLineChars="400"/>
        <w:rPr>
          <w:rFonts w:asciiTheme="minorEastAsia" w:hAnsiTheme="minorEastAsia" w:eastAsiaTheme="minorEastAsia"/>
          <w:sz w:val="23"/>
          <w:szCs w:val="23"/>
        </w:rPr>
      </w:pPr>
      <w:r>
        <w:rPr>
          <w:rFonts w:hint="eastAsia" w:asciiTheme="minorEastAsia" w:hAnsiTheme="minorEastAsia" w:eastAsiaTheme="minorEastAsia"/>
          <w:sz w:val="23"/>
          <w:szCs w:val="23"/>
        </w:rPr>
        <w:t>2.1.3.2具备承装（修、试）电力设施许可证</w:t>
      </w:r>
      <w:r>
        <w:rPr>
          <w:rFonts w:hint="eastAsia" w:asciiTheme="minorEastAsia" w:hAnsiTheme="minorEastAsia" w:eastAsiaTheme="minorEastAsia"/>
          <w:color w:val="FF0000"/>
          <w:sz w:val="23"/>
          <w:szCs w:val="23"/>
        </w:rPr>
        <w:t>三</w:t>
      </w:r>
      <w:r>
        <w:rPr>
          <w:rFonts w:hint="eastAsia" w:asciiTheme="minorEastAsia" w:hAnsiTheme="minorEastAsia" w:eastAsiaTheme="minorEastAsia"/>
          <w:sz w:val="23"/>
          <w:szCs w:val="23"/>
        </w:rPr>
        <w:t>级或以上资质；</w:t>
      </w:r>
    </w:p>
    <w:p>
      <w:pPr>
        <w:spacing w:line="360" w:lineRule="auto"/>
        <w:ind w:firstLine="920" w:firstLineChars="400"/>
        <w:rPr>
          <w:rFonts w:asciiTheme="minorEastAsia" w:hAnsiTheme="minorEastAsia" w:eastAsiaTheme="minorEastAsia"/>
          <w:sz w:val="23"/>
          <w:szCs w:val="23"/>
        </w:rPr>
      </w:pPr>
      <w:r>
        <w:rPr>
          <w:rFonts w:hint="eastAsia" w:asciiTheme="minorEastAsia" w:hAnsiTheme="minorEastAsia" w:eastAsiaTheme="minorEastAsia"/>
          <w:sz w:val="23"/>
          <w:szCs w:val="23"/>
        </w:rPr>
        <w:t>3.1.3.3</w:t>
      </w:r>
      <w:r>
        <w:rPr>
          <w:rFonts w:hint="eastAsia" w:ascii="宋体" w:hAnsi="宋体"/>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pPr>
        <w:pStyle w:val="39"/>
        <w:shd w:val="clear" w:color="auto" w:fill="FFFFFF"/>
        <w:spacing w:before="0" w:beforeAutospacing="0" w:after="0" w:afterAutospacing="0" w:line="293" w:lineRule="atLeast"/>
        <w:ind w:firstLine="920" w:firstLineChars="400"/>
        <w:rPr>
          <w:rFonts w:asciiTheme="minorEastAsia" w:hAnsiTheme="minorEastAsia" w:eastAsiaTheme="minorEastAsia"/>
          <w:kern w:val="2"/>
          <w:sz w:val="23"/>
          <w:szCs w:val="23"/>
        </w:rPr>
      </w:pPr>
      <w:r>
        <w:rPr>
          <w:rFonts w:hint="eastAsia" w:asciiTheme="minorEastAsia" w:hAnsiTheme="minorEastAsia" w:eastAsiaTheme="minorEastAsia"/>
          <w:kern w:val="2"/>
          <w:sz w:val="23"/>
          <w:szCs w:val="23"/>
        </w:rPr>
        <w:t>3.1.3.4本项目招标不接受联合体投标。</w:t>
      </w:r>
    </w:p>
    <w:p>
      <w:pPr>
        <w:pStyle w:val="39"/>
        <w:shd w:val="clear" w:color="auto" w:fill="FFFFFF"/>
        <w:spacing w:before="0" w:beforeAutospacing="0" w:after="0" w:afterAutospacing="0" w:line="293" w:lineRule="atLeast"/>
        <w:ind w:firstLine="920" w:firstLineChars="400"/>
        <w:rPr>
          <w:rFonts w:asciiTheme="minorEastAsia" w:hAnsiTheme="minorEastAsia" w:eastAsiaTheme="minorEastAsia"/>
          <w:kern w:val="2"/>
          <w:sz w:val="23"/>
          <w:szCs w:val="23"/>
        </w:rPr>
      </w:pPr>
    </w:p>
    <w:p>
      <w:pPr>
        <w:pStyle w:val="3"/>
        <w:numPr>
          <w:ilvl w:val="0"/>
          <w:numId w:val="6"/>
        </w:numPr>
        <w:tabs>
          <w:tab w:val="left" w:pos="0"/>
        </w:tabs>
        <w:spacing w:before="0" w:after="0" w:line="400" w:lineRule="exact"/>
        <w:rPr>
          <w:rFonts w:asciiTheme="minorEastAsia" w:hAnsiTheme="minorEastAsia" w:eastAsiaTheme="minorEastAsia"/>
          <w:b w:val="0"/>
          <w:color w:val="000000"/>
          <w:sz w:val="23"/>
          <w:szCs w:val="23"/>
        </w:rPr>
      </w:pPr>
      <w:bookmarkStart w:id="60" w:name="_Toc324769693"/>
      <w:bookmarkStart w:id="61" w:name="_Toc275435950"/>
      <w:bookmarkStart w:id="62" w:name="_Toc27642"/>
      <w:r>
        <w:rPr>
          <w:rFonts w:hint="eastAsia" w:asciiTheme="minorEastAsia" w:hAnsiTheme="minorEastAsia" w:eastAsiaTheme="minorEastAsia"/>
          <w:b w:val="0"/>
          <w:color w:val="000000"/>
          <w:sz w:val="23"/>
          <w:szCs w:val="23"/>
        </w:rPr>
        <w:t>招标文件</w:t>
      </w:r>
      <w:bookmarkEnd w:id="60"/>
      <w:bookmarkEnd w:id="61"/>
      <w:bookmarkEnd w:id="62"/>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3"/>
        <w:numPr>
          <w:ilvl w:val="0"/>
          <w:numId w:val="6"/>
        </w:numPr>
        <w:tabs>
          <w:tab w:val="left" w:pos="0"/>
        </w:tabs>
        <w:spacing w:before="0" w:after="0" w:line="400" w:lineRule="exact"/>
        <w:rPr>
          <w:rFonts w:asciiTheme="minorEastAsia" w:hAnsiTheme="minorEastAsia" w:eastAsiaTheme="minorEastAsia"/>
          <w:b w:val="0"/>
          <w:color w:val="000000"/>
          <w:sz w:val="23"/>
          <w:szCs w:val="23"/>
        </w:rPr>
      </w:pPr>
      <w:bookmarkStart w:id="63" w:name="_Toc275435951"/>
      <w:bookmarkStart w:id="64" w:name="_Toc324769694"/>
      <w:bookmarkStart w:id="65" w:name="_Toc19355"/>
      <w:r>
        <w:rPr>
          <w:rFonts w:hint="eastAsia" w:asciiTheme="minorEastAsia" w:hAnsiTheme="minorEastAsia" w:eastAsiaTheme="minorEastAsia"/>
          <w:b w:val="0"/>
          <w:color w:val="000000"/>
          <w:sz w:val="23"/>
          <w:szCs w:val="23"/>
        </w:rPr>
        <w:t>投标文件</w:t>
      </w:r>
      <w:bookmarkEnd w:id="63"/>
      <w:bookmarkEnd w:id="64"/>
      <w:bookmarkEnd w:id="65"/>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3.3.1.4商务文件。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000000"/>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FF0000"/>
          <w:sz w:val="23"/>
          <w:szCs w:val="23"/>
        </w:rPr>
        <w:t>包括：</w:t>
      </w:r>
      <w:r>
        <w:rPr>
          <w:rFonts w:hint="eastAsia" w:ascii="宋体"/>
          <w:color w:val="FF0000"/>
          <w:sz w:val="23"/>
          <w:szCs w:val="23"/>
        </w:rPr>
        <w:t>合格投标人资格证明文件、</w:t>
      </w:r>
      <w:r>
        <w:rPr>
          <w:rFonts w:hint="eastAsia" w:ascii="宋体" w:hAnsi="宋体"/>
          <w:color w:val="FF0000"/>
          <w:sz w:val="23"/>
          <w:szCs w:val="23"/>
        </w:rPr>
        <w:t>法定代表人证明书、授权委托书、投标人认为有必要提供的其他</w:t>
      </w:r>
      <w:r>
        <w:rPr>
          <w:rFonts w:hint="eastAsia" w:ascii="宋体"/>
          <w:color w:val="FF0000"/>
          <w:sz w:val="23"/>
          <w:szCs w:val="23"/>
        </w:rPr>
        <w:t>资质证书、</w:t>
      </w:r>
      <w:r>
        <w:rPr>
          <w:rFonts w:hint="eastAsia" w:ascii="宋体" w:hAnsi="宋体"/>
          <w:color w:val="FF0000"/>
          <w:sz w:val="23"/>
          <w:szCs w:val="23"/>
        </w:rPr>
        <w:t>材料</w:t>
      </w:r>
      <w:r>
        <w:rPr>
          <w:rFonts w:hint="eastAsia" w:ascii="宋体" w:hAnsi="宋体"/>
          <w:color w:val="000000"/>
          <w:sz w:val="23"/>
          <w:szCs w:val="23"/>
        </w:rPr>
        <w:t>）</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3.3.4.4因投标文件装订质量或不可抗力事件而造成的一切后果，招标人概不承担任何责任。</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1"/>
        <w:tblW w:w="76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highlight w:val="yellow"/>
                <w:u w:val="single"/>
              </w:rPr>
              <w:t>广东财经大学佛山三水校区后勤办</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9"/>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3.3.7.3中标人未能按招标文件要求与招标人签订合同。</w:t>
      </w:r>
    </w:p>
    <w:p>
      <w:pPr>
        <w:spacing w:line="360" w:lineRule="auto"/>
        <w:rPr>
          <w:color w:val="000000"/>
          <w:sz w:val="23"/>
          <w:szCs w:val="23"/>
        </w:rPr>
      </w:pPr>
    </w:p>
    <w:p>
      <w:pPr>
        <w:pStyle w:val="2"/>
        <w:spacing w:before="0" w:after="0" w:line="240" w:lineRule="auto"/>
        <w:jc w:val="center"/>
        <w:rPr>
          <w:rFonts w:ascii="宋体" w:hAnsi="宋体"/>
          <w:bCs w:val="0"/>
          <w:color w:val="000000"/>
          <w:sz w:val="28"/>
          <w:szCs w:val="23"/>
        </w:rPr>
      </w:pPr>
      <w:bookmarkStart w:id="66" w:name="_Toc298325866"/>
      <w:bookmarkStart w:id="67" w:name="_Toc13611"/>
      <w:r>
        <w:rPr>
          <w:rFonts w:hint="eastAsia" w:ascii="宋体" w:hAnsi="宋体"/>
          <w:color w:val="000000"/>
          <w:sz w:val="28"/>
          <w:szCs w:val="23"/>
        </w:rPr>
        <w:t xml:space="preserve">第四部分  </w:t>
      </w:r>
      <w:r>
        <w:rPr>
          <w:rFonts w:hint="eastAsia" w:ascii="宋体" w:hAnsi="宋体"/>
          <w:bCs w:val="0"/>
          <w:color w:val="000000"/>
          <w:sz w:val="28"/>
          <w:szCs w:val="23"/>
        </w:rPr>
        <w:t>评标办法及标准</w:t>
      </w:r>
      <w:bookmarkEnd w:id="66"/>
      <w:bookmarkEnd w:id="67"/>
    </w:p>
    <w:p>
      <w:pPr>
        <w:rPr>
          <w:color w:val="000000"/>
          <w:sz w:val="23"/>
          <w:szCs w:val="23"/>
        </w:rPr>
      </w:pPr>
    </w:p>
    <w:p>
      <w:pPr>
        <w:pStyle w:val="3"/>
        <w:numPr>
          <w:ilvl w:val="0"/>
          <w:numId w:val="10"/>
        </w:numPr>
        <w:spacing w:before="0" w:after="0" w:line="0" w:lineRule="atLeast"/>
        <w:rPr>
          <w:rFonts w:ascii="宋体" w:hAnsi="宋体"/>
          <w:b w:val="0"/>
          <w:color w:val="000000"/>
          <w:sz w:val="23"/>
          <w:szCs w:val="23"/>
        </w:rPr>
      </w:pPr>
      <w:bookmarkStart w:id="68" w:name="_Toc298325867"/>
      <w:bookmarkStart w:id="69" w:name="_Toc279072807"/>
      <w:bookmarkStart w:id="70" w:name="_Toc27411"/>
      <w:r>
        <w:rPr>
          <w:rFonts w:hint="eastAsia" w:ascii="宋体" w:hAnsi="宋体"/>
          <w:b w:val="0"/>
          <w:color w:val="000000"/>
          <w:sz w:val="23"/>
          <w:szCs w:val="23"/>
        </w:rPr>
        <w:t>评标方法</w:t>
      </w:r>
      <w:bookmarkEnd w:id="68"/>
      <w:bookmarkEnd w:id="69"/>
      <w:bookmarkEnd w:id="70"/>
    </w:p>
    <w:p>
      <w:pPr>
        <w:pStyle w:val="12"/>
        <w:numPr>
          <w:ilvl w:val="0"/>
          <w:numId w:val="11"/>
        </w:numPr>
        <w:spacing w:line="400" w:lineRule="exact"/>
        <w:rPr>
          <w:rFonts w:ascii="宋体" w:hAnsi="宋体"/>
          <w:color w:val="000000"/>
          <w:sz w:val="23"/>
          <w:szCs w:val="23"/>
        </w:rPr>
      </w:pPr>
      <w:r>
        <w:rPr>
          <w:rFonts w:hint="eastAsia" w:ascii="宋体" w:hAnsi="宋体"/>
          <w:color w:val="000000"/>
          <w:sz w:val="23"/>
          <w:szCs w:val="23"/>
        </w:rPr>
        <w:t>本次评标采用</w:t>
      </w:r>
      <w:r>
        <w:rPr>
          <w:rFonts w:hint="eastAsia" w:ascii="宋体" w:hAnsi="宋体"/>
          <w:color w:val="000000"/>
          <w:sz w:val="23"/>
          <w:szCs w:val="23"/>
          <w:u w:val="single"/>
        </w:rPr>
        <w:t>综合评分法</w:t>
      </w:r>
      <w:r>
        <w:rPr>
          <w:rFonts w:hint="eastAsia" w:ascii="宋体" w:hAnsi="宋体"/>
          <w:color w:val="000000"/>
          <w:sz w:val="23"/>
          <w:szCs w:val="23"/>
        </w:rPr>
        <w:t>，即在最大限度地满足招标文件实质性要求前提下，按照招标文件中规定的各项因素进行综合评审后，以评标总得分最高的投标人作为中标候选人。</w:t>
      </w:r>
    </w:p>
    <w:p>
      <w:pPr>
        <w:pStyle w:val="3"/>
        <w:numPr>
          <w:ilvl w:val="0"/>
          <w:numId w:val="10"/>
        </w:numPr>
        <w:spacing w:before="0" w:after="0" w:line="0" w:lineRule="atLeast"/>
        <w:rPr>
          <w:rFonts w:ascii="宋体" w:hAnsi="宋体"/>
          <w:b w:val="0"/>
          <w:color w:val="000000"/>
          <w:sz w:val="23"/>
          <w:szCs w:val="23"/>
        </w:rPr>
      </w:pPr>
      <w:bookmarkStart w:id="71" w:name="_Toc298325869"/>
      <w:bookmarkStart w:id="72" w:name="_Toc279072809"/>
      <w:bookmarkStart w:id="73" w:name="_Toc3519"/>
      <w:r>
        <w:rPr>
          <w:rFonts w:hint="eastAsia" w:ascii="宋体" w:hAnsi="宋体"/>
          <w:b w:val="0"/>
          <w:color w:val="000000"/>
          <w:sz w:val="23"/>
          <w:szCs w:val="23"/>
        </w:rPr>
        <w:t>评标标准</w:t>
      </w:r>
      <w:bookmarkEnd w:id="71"/>
      <w:bookmarkEnd w:id="72"/>
      <w:r>
        <w:rPr>
          <w:rFonts w:hint="eastAsia" w:ascii="宋体" w:hAnsi="宋体"/>
          <w:b w:val="0"/>
          <w:color w:val="000000"/>
          <w:sz w:val="23"/>
          <w:szCs w:val="23"/>
        </w:rPr>
        <w:t>：</w:t>
      </w:r>
      <w:bookmarkEnd w:id="73"/>
    </w:p>
    <w:p>
      <w:pPr>
        <w:pStyle w:val="12"/>
        <w:numPr>
          <w:ilvl w:val="0"/>
          <w:numId w:val="12"/>
        </w:numPr>
        <w:spacing w:line="400" w:lineRule="exact"/>
        <w:rPr>
          <w:rFonts w:ascii="宋体" w:hAnsi="宋体"/>
          <w:color w:val="000000"/>
          <w:sz w:val="23"/>
          <w:szCs w:val="23"/>
        </w:rPr>
      </w:pPr>
      <w:r>
        <w:rPr>
          <w:rFonts w:hint="eastAsia" w:ascii="宋体" w:hAnsi="宋体"/>
          <w:color w:val="000000"/>
          <w:sz w:val="23"/>
          <w:szCs w:val="23"/>
        </w:rPr>
        <w:t>价格评分标准：详见《价格评分表》（附表三）。</w:t>
      </w:r>
    </w:p>
    <w:p>
      <w:pPr>
        <w:pStyle w:val="12"/>
        <w:numPr>
          <w:ilvl w:val="0"/>
          <w:numId w:val="12"/>
        </w:numPr>
        <w:spacing w:line="400" w:lineRule="exact"/>
        <w:rPr>
          <w:rFonts w:ascii="宋体" w:hAnsi="宋体"/>
          <w:color w:val="000000"/>
          <w:sz w:val="23"/>
          <w:szCs w:val="23"/>
        </w:rPr>
      </w:pPr>
      <w:r>
        <w:rPr>
          <w:rFonts w:hint="eastAsia" w:ascii="宋体" w:hAnsi="宋体"/>
          <w:color w:val="000000"/>
          <w:sz w:val="23"/>
          <w:szCs w:val="23"/>
        </w:rPr>
        <w:t>商务评分标准：详见《商务评分表》（附表四）。</w:t>
      </w:r>
    </w:p>
    <w:p>
      <w:pPr>
        <w:pStyle w:val="12"/>
        <w:numPr>
          <w:ilvl w:val="0"/>
          <w:numId w:val="12"/>
        </w:numPr>
        <w:spacing w:line="400" w:lineRule="exact"/>
        <w:rPr>
          <w:color w:val="000000"/>
          <w:sz w:val="23"/>
          <w:szCs w:val="23"/>
        </w:rPr>
      </w:pPr>
      <w:r>
        <w:rPr>
          <w:rFonts w:hint="eastAsia" w:ascii="宋体" w:hAnsi="宋体"/>
          <w:color w:val="000000"/>
          <w:sz w:val="23"/>
          <w:szCs w:val="23"/>
        </w:rPr>
        <w:t>技术评分标准：详见《技术评分表》（附表五）。</w:t>
      </w:r>
    </w:p>
    <w:p>
      <w:pPr>
        <w:pStyle w:val="12"/>
        <w:numPr>
          <w:ilvl w:val="0"/>
          <w:numId w:val="12"/>
        </w:numPr>
        <w:spacing w:line="400" w:lineRule="exact"/>
        <w:rPr>
          <w:color w:val="000000"/>
          <w:sz w:val="23"/>
          <w:szCs w:val="23"/>
        </w:rPr>
      </w:pPr>
      <w:r>
        <w:rPr>
          <w:color w:val="000000"/>
          <w:sz w:val="23"/>
          <w:szCs w:val="23"/>
        </w:rPr>
        <w:br w:type="page"/>
      </w:r>
    </w:p>
    <w:p>
      <w:pPr>
        <w:snapToGrid w:val="0"/>
        <w:rPr>
          <w:rFonts w:ascii="宋体" w:hAnsi="宋体"/>
          <w:color w:val="000000"/>
          <w:sz w:val="23"/>
          <w:szCs w:val="23"/>
        </w:rPr>
      </w:pPr>
    </w:p>
    <w:p>
      <w:pPr>
        <w:snapToGrid w:val="0"/>
        <w:rPr>
          <w:rFonts w:ascii="宋体" w:hAnsi="宋体"/>
          <w:color w:val="000000"/>
          <w:sz w:val="23"/>
          <w:szCs w:val="23"/>
        </w:rPr>
      </w:pPr>
      <w:r>
        <w:rPr>
          <w:rFonts w:hint="eastAsia" w:ascii="宋体" w:hAnsi="宋体"/>
          <w:color w:val="000000"/>
          <w:sz w:val="23"/>
          <w:szCs w:val="23"/>
        </w:rPr>
        <w:t>附表一</w:t>
      </w:r>
    </w:p>
    <w:p>
      <w:pPr>
        <w:snapToGrid w:val="0"/>
        <w:jc w:val="center"/>
        <w:rPr>
          <w:rFonts w:ascii="宋体" w:hAnsi="宋体"/>
          <w:color w:val="000000"/>
          <w:sz w:val="23"/>
          <w:szCs w:val="23"/>
        </w:rPr>
      </w:pPr>
      <w:r>
        <w:rPr>
          <w:rFonts w:hint="eastAsia" w:ascii="宋体" w:hAnsi="宋体"/>
          <w:color w:val="000000"/>
          <w:sz w:val="23"/>
          <w:szCs w:val="23"/>
        </w:rPr>
        <w:t>资格性审查表</w:t>
      </w:r>
    </w:p>
    <w:p>
      <w:pPr>
        <w:snapToGrid w:val="0"/>
        <w:jc w:val="center"/>
        <w:rPr>
          <w:rFonts w:ascii="宋体" w:hAnsi="宋体"/>
          <w:color w:val="000000"/>
          <w:sz w:val="23"/>
          <w:szCs w:val="23"/>
        </w:rPr>
      </w:pPr>
    </w:p>
    <w:tbl>
      <w:tblPr>
        <w:tblStyle w:val="41"/>
        <w:tblW w:w="9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11"/>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411"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562"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411" w:type="dxa"/>
            <w:vAlign w:val="center"/>
          </w:tcPr>
          <w:p>
            <w:pPr>
              <w:adjustRightInd w:val="0"/>
              <w:snapToGrid w:val="0"/>
              <w:rPr>
                <w:rFonts w:ascii="宋体" w:hAnsi="宋体"/>
                <w:sz w:val="23"/>
                <w:szCs w:val="23"/>
              </w:rPr>
            </w:pPr>
            <w:r>
              <w:rPr>
                <w:rFonts w:hint="eastAsia" w:ascii="宋体" w:hAnsi="宋体"/>
                <w:sz w:val="23"/>
                <w:szCs w:val="23"/>
              </w:rPr>
              <w:t>投标人须具有独立法人资格，持有相关部门核发的经营证照</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8411" w:type="dxa"/>
            <w:vAlign w:val="center"/>
          </w:tcPr>
          <w:p>
            <w:pPr>
              <w:adjustRightInd w:val="0"/>
              <w:snapToGrid w:val="0"/>
              <w:rPr>
                <w:rFonts w:ascii="宋体" w:hAnsi="宋体"/>
                <w:sz w:val="23"/>
                <w:szCs w:val="23"/>
              </w:rPr>
            </w:pPr>
            <w:r>
              <w:rPr>
                <w:rFonts w:hint="eastAsia" w:ascii="宋体" w:hAnsi="宋体"/>
                <w:sz w:val="23"/>
                <w:szCs w:val="23"/>
              </w:rPr>
              <w:t>具备承装（修、试）电力设施许可证</w:t>
            </w:r>
            <w:r>
              <w:rPr>
                <w:rFonts w:hint="eastAsia" w:ascii="宋体" w:hAnsi="宋体"/>
                <w:color w:val="FF0000"/>
                <w:sz w:val="23"/>
                <w:szCs w:val="23"/>
              </w:rPr>
              <w:t>三</w:t>
            </w:r>
            <w:r>
              <w:rPr>
                <w:rFonts w:hint="eastAsia" w:ascii="宋体" w:hAnsi="宋体"/>
                <w:sz w:val="23"/>
                <w:szCs w:val="23"/>
              </w:rPr>
              <w:t>级或以上资质</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8411" w:type="dxa"/>
            <w:vAlign w:val="center"/>
          </w:tcPr>
          <w:p>
            <w:pPr>
              <w:adjustRightInd w:val="0"/>
              <w:snapToGrid w:val="0"/>
              <w:rPr>
                <w:rFonts w:ascii="宋体" w:hAnsi="宋体"/>
                <w:sz w:val="23"/>
                <w:szCs w:val="23"/>
              </w:rPr>
            </w:pPr>
            <w:r>
              <w:rPr>
                <w:rFonts w:hint="eastAsia" w:ascii="宋体" w:hAnsi="宋体"/>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8411" w:type="dxa"/>
            <w:vAlign w:val="center"/>
          </w:tcPr>
          <w:p>
            <w:pPr>
              <w:adjustRightInd w:val="0"/>
              <w:snapToGrid w:val="0"/>
              <w:rPr>
                <w:rFonts w:ascii="宋体" w:hAnsi="宋体"/>
                <w:sz w:val="23"/>
                <w:szCs w:val="23"/>
              </w:rPr>
            </w:pPr>
            <w:r>
              <w:rPr>
                <w:rFonts w:hint="eastAsia" w:ascii="宋体" w:hAnsi="宋体"/>
                <w:sz w:val="23"/>
                <w:szCs w:val="23"/>
              </w:rPr>
              <w:t>本项目不接受联合体投标。</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947" w:type="dxa"/>
            <w:gridSpan w:val="2"/>
            <w:vAlign w:val="center"/>
          </w:tcPr>
          <w:p>
            <w:pPr>
              <w:snapToGrid w:val="0"/>
              <w:spacing w:before="78" w:beforeLines="25" w:after="78" w:afterLines="25"/>
              <w:jc w:val="right"/>
              <w:rPr>
                <w:rFonts w:ascii="宋体" w:hAnsi="宋体"/>
                <w:sz w:val="23"/>
                <w:szCs w:val="23"/>
              </w:rPr>
            </w:pPr>
            <w:r>
              <w:rPr>
                <w:rFonts w:hint="eastAsia" w:ascii="宋体" w:hAnsi="宋体"/>
                <w:sz w:val="23"/>
                <w:szCs w:val="23"/>
              </w:rPr>
              <w:t>结论</w:t>
            </w:r>
          </w:p>
        </w:tc>
        <w:tc>
          <w:tcPr>
            <w:tcW w:w="562"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snapToGrid w:val="0"/>
        <w:rPr>
          <w:rFonts w:ascii="宋体" w:hAnsi="宋体"/>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评委签字：</w:t>
      </w:r>
    </w:p>
    <w:p>
      <w:pPr>
        <w:rPr>
          <w:rFonts w:ascii="仿宋_GB2312" w:hAnsi="宋体" w:eastAsia="仿宋_GB2312"/>
          <w:color w:val="000000"/>
          <w:sz w:val="23"/>
          <w:szCs w:val="23"/>
        </w:rPr>
      </w:pPr>
    </w:p>
    <w:p>
      <w:pPr>
        <w:rPr>
          <w:rFonts w:ascii="仿宋_GB2312" w:hAnsi="宋体" w:eastAsia="仿宋_GB2312"/>
          <w:color w:val="000000"/>
          <w:sz w:val="23"/>
          <w:szCs w:val="23"/>
        </w:rPr>
      </w:pPr>
      <w:r>
        <w:rPr>
          <w:rFonts w:hint="eastAsia" w:ascii="仿宋_GB2312" w:hAnsi="宋体" w:eastAsia="仿宋_GB2312"/>
          <w:color w:val="000000"/>
          <w:sz w:val="23"/>
          <w:szCs w:val="23"/>
        </w:rPr>
        <w:t xml:space="preserve">                                                        2019年 月   日</w:t>
      </w: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rPr>
          <w:rFonts w:ascii="仿宋_GB2312" w:hAnsi="宋体" w:eastAsia="仿宋_GB2312"/>
          <w:color w:val="000000"/>
          <w:sz w:val="23"/>
          <w:szCs w:val="23"/>
        </w:rPr>
      </w:pPr>
    </w:p>
    <w:p>
      <w:pPr>
        <w:snapToGrid w:val="0"/>
        <w:rPr>
          <w:rFonts w:ascii="宋体" w:hAnsi="Arial"/>
          <w:color w:val="000000"/>
          <w:sz w:val="23"/>
          <w:szCs w:val="23"/>
        </w:rPr>
      </w:pPr>
      <w:r>
        <w:rPr>
          <w:rFonts w:hint="eastAsia" w:ascii="宋体" w:hAnsi="Arial"/>
          <w:color w:val="000000"/>
          <w:sz w:val="23"/>
          <w:szCs w:val="23"/>
        </w:rPr>
        <w:t>附表二</w:t>
      </w:r>
    </w:p>
    <w:p>
      <w:pPr>
        <w:tabs>
          <w:tab w:val="left" w:pos="1030"/>
        </w:tabs>
        <w:jc w:val="center"/>
        <w:rPr>
          <w:rFonts w:ascii="宋体"/>
          <w:color w:val="000000"/>
          <w:sz w:val="23"/>
          <w:szCs w:val="23"/>
        </w:rPr>
      </w:pPr>
      <w:r>
        <w:rPr>
          <w:rFonts w:hint="eastAsia" w:ascii="宋体" w:hAnsi="宋体"/>
          <w:color w:val="000000"/>
          <w:sz w:val="23"/>
          <w:szCs w:val="23"/>
        </w:rPr>
        <w:t>权重分配表</w:t>
      </w:r>
    </w:p>
    <w:tbl>
      <w:tblPr>
        <w:tblStyle w:val="41"/>
        <w:tblW w:w="86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150"/>
        <w:gridCol w:w="2151"/>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评分项目</w:t>
            </w:r>
          </w:p>
        </w:tc>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商务评分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color w:val="000000"/>
                <w:sz w:val="23"/>
                <w:szCs w:val="23"/>
              </w:rPr>
            </w:pPr>
            <w:r>
              <w:rPr>
                <w:rFonts w:hint="eastAsia" w:ascii="宋体" w:hAnsi="宋体"/>
                <w:color w:val="000000"/>
                <w:sz w:val="23"/>
                <w:szCs w:val="23"/>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color w:val="000000"/>
                <w:sz w:val="23"/>
                <w:szCs w:val="23"/>
              </w:rPr>
            </w:pPr>
            <w:r>
              <w:rPr>
                <w:rFonts w:hint="eastAsia" w:ascii="宋体" w:hAnsi="宋体"/>
                <w:color w:val="000000"/>
                <w:sz w:val="23"/>
                <w:szCs w:val="23"/>
              </w:rPr>
              <w:t>权重</w:t>
            </w:r>
            <w:r>
              <w:rPr>
                <w:rFonts w:hint="eastAsia" w:ascii="宋体" w:hAnsi="宋体"/>
                <w:bCs/>
                <w:color w:val="000000"/>
                <w:sz w:val="23"/>
                <w:szCs w:val="23"/>
              </w:rPr>
              <w:t>（</w:t>
            </w:r>
            <w:r>
              <w:rPr>
                <w:rFonts w:ascii="宋体" w:hAnsi="宋体"/>
                <w:bCs/>
                <w:color w:val="000000"/>
                <w:sz w:val="23"/>
                <w:szCs w:val="23"/>
              </w:rPr>
              <w:t>%</w:t>
            </w:r>
            <w:r>
              <w:rPr>
                <w:rFonts w:hint="eastAsia" w:ascii="宋体" w:hAnsi="宋体"/>
                <w:bCs/>
                <w:color w:val="000000"/>
                <w:sz w:val="23"/>
                <w:szCs w:val="23"/>
              </w:rPr>
              <w:t>）</w:t>
            </w:r>
          </w:p>
        </w:tc>
        <w:tc>
          <w:tcPr>
            <w:tcW w:w="2150" w:type="dxa"/>
            <w:vAlign w:val="center"/>
          </w:tcPr>
          <w:p>
            <w:pPr>
              <w:jc w:val="center"/>
              <w:rPr>
                <w:rFonts w:ascii="宋体"/>
                <w:color w:val="000000"/>
                <w:sz w:val="23"/>
                <w:szCs w:val="23"/>
              </w:rPr>
            </w:pPr>
            <w:r>
              <w:rPr>
                <w:rFonts w:ascii="宋体" w:hAnsi="宋体"/>
                <w:color w:val="000000"/>
                <w:sz w:val="23"/>
                <w:szCs w:val="23"/>
              </w:rPr>
              <w:t>30</w:t>
            </w:r>
          </w:p>
        </w:tc>
        <w:tc>
          <w:tcPr>
            <w:tcW w:w="2151" w:type="dxa"/>
            <w:vAlign w:val="center"/>
          </w:tcPr>
          <w:p>
            <w:pPr>
              <w:jc w:val="center"/>
              <w:rPr>
                <w:rFonts w:ascii="宋体"/>
                <w:color w:val="000000"/>
                <w:sz w:val="23"/>
                <w:szCs w:val="23"/>
              </w:rPr>
            </w:pPr>
            <w:r>
              <w:rPr>
                <w:rFonts w:ascii="宋体" w:hAnsi="宋体"/>
                <w:color w:val="000000"/>
                <w:sz w:val="23"/>
                <w:szCs w:val="23"/>
              </w:rPr>
              <w:t>50</w:t>
            </w:r>
          </w:p>
        </w:tc>
        <w:tc>
          <w:tcPr>
            <w:tcW w:w="2151" w:type="dxa"/>
            <w:vAlign w:val="center"/>
          </w:tcPr>
          <w:p>
            <w:pPr>
              <w:jc w:val="center"/>
              <w:rPr>
                <w:rFonts w:ascii="宋体"/>
                <w:color w:val="000000"/>
                <w:sz w:val="23"/>
                <w:szCs w:val="23"/>
              </w:rPr>
            </w:pPr>
            <w:r>
              <w:rPr>
                <w:rFonts w:ascii="宋体" w:hAnsi="宋体"/>
                <w:color w:val="000000"/>
                <w:sz w:val="23"/>
                <w:szCs w:val="23"/>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color w:val="000000"/>
                <w:sz w:val="23"/>
                <w:szCs w:val="23"/>
              </w:rPr>
            </w:pPr>
            <w:r>
              <w:rPr>
                <w:rFonts w:hint="eastAsia" w:ascii="宋体" w:hAnsi="宋体"/>
                <w:color w:val="000000"/>
                <w:sz w:val="23"/>
                <w:szCs w:val="23"/>
              </w:rPr>
              <w:t>分值</w:t>
            </w:r>
          </w:p>
        </w:tc>
        <w:tc>
          <w:tcPr>
            <w:tcW w:w="2150" w:type="dxa"/>
            <w:vAlign w:val="center"/>
          </w:tcPr>
          <w:p>
            <w:pPr>
              <w:jc w:val="center"/>
              <w:rPr>
                <w:rFonts w:ascii="宋体"/>
                <w:color w:val="000000"/>
                <w:sz w:val="23"/>
                <w:szCs w:val="23"/>
              </w:rPr>
            </w:pPr>
            <w:r>
              <w:rPr>
                <w:rFonts w:ascii="宋体" w:hAnsi="宋体"/>
                <w:color w:val="000000"/>
                <w:sz w:val="23"/>
                <w:szCs w:val="23"/>
              </w:rPr>
              <w:t>30</w:t>
            </w:r>
          </w:p>
        </w:tc>
        <w:tc>
          <w:tcPr>
            <w:tcW w:w="2151" w:type="dxa"/>
            <w:vAlign w:val="center"/>
          </w:tcPr>
          <w:p>
            <w:pPr>
              <w:jc w:val="center"/>
              <w:rPr>
                <w:rFonts w:ascii="宋体"/>
                <w:color w:val="000000"/>
                <w:sz w:val="23"/>
                <w:szCs w:val="23"/>
              </w:rPr>
            </w:pPr>
            <w:r>
              <w:rPr>
                <w:rFonts w:ascii="宋体" w:hAnsi="宋体"/>
                <w:color w:val="000000"/>
                <w:sz w:val="23"/>
                <w:szCs w:val="23"/>
              </w:rPr>
              <w:t>50</w:t>
            </w:r>
          </w:p>
        </w:tc>
        <w:tc>
          <w:tcPr>
            <w:tcW w:w="2151" w:type="dxa"/>
            <w:vAlign w:val="center"/>
          </w:tcPr>
          <w:p>
            <w:pPr>
              <w:jc w:val="center"/>
              <w:rPr>
                <w:rFonts w:ascii="宋体"/>
                <w:color w:val="000000"/>
                <w:sz w:val="23"/>
                <w:szCs w:val="23"/>
              </w:rPr>
            </w:pPr>
            <w:r>
              <w:rPr>
                <w:rFonts w:ascii="宋体" w:hAnsi="宋体"/>
                <w:color w:val="000000"/>
                <w:sz w:val="23"/>
                <w:szCs w:val="23"/>
              </w:rPr>
              <w:t>20</w:t>
            </w:r>
          </w:p>
        </w:tc>
      </w:tr>
    </w:tbl>
    <w:p>
      <w:pPr>
        <w:snapToGrid w:val="0"/>
        <w:spacing w:line="360" w:lineRule="auto"/>
        <w:rPr>
          <w:rFonts w:ascii="宋体" w:hAnsi="Arial"/>
          <w:color w:val="000000"/>
          <w:sz w:val="23"/>
          <w:szCs w:val="23"/>
        </w:rPr>
      </w:pPr>
    </w:p>
    <w:p>
      <w:pPr>
        <w:snapToGrid w:val="0"/>
        <w:spacing w:line="360" w:lineRule="auto"/>
        <w:rPr>
          <w:rFonts w:ascii="宋体" w:hAnsi="Arial"/>
          <w:color w:val="000000"/>
          <w:sz w:val="23"/>
          <w:szCs w:val="23"/>
        </w:rPr>
      </w:pPr>
      <w:r>
        <w:rPr>
          <w:rFonts w:hint="eastAsia" w:ascii="宋体" w:hAnsi="Arial"/>
          <w:color w:val="000000"/>
          <w:sz w:val="23"/>
          <w:szCs w:val="23"/>
        </w:rPr>
        <w:t>附表三</w:t>
      </w:r>
    </w:p>
    <w:p>
      <w:pPr>
        <w:snapToGrid w:val="0"/>
        <w:jc w:val="center"/>
        <w:rPr>
          <w:rFonts w:ascii="宋体" w:hAnsi="Arial"/>
          <w:color w:val="000000"/>
          <w:sz w:val="23"/>
          <w:szCs w:val="23"/>
        </w:rPr>
      </w:pPr>
      <w:r>
        <w:rPr>
          <w:rFonts w:hint="eastAsia" w:ascii="宋体" w:hAnsi="Arial"/>
          <w:color w:val="000000"/>
          <w:sz w:val="23"/>
          <w:szCs w:val="23"/>
        </w:rPr>
        <w:t>价格评分表</w:t>
      </w:r>
    </w:p>
    <w:p>
      <w:pPr>
        <w:snapToGrid w:val="0"/>
        <w:jc w:val="center"/>
        <w:rPr>
          <w:rFonts w:ascii="宋体" w:hAnsi="Arial"/>
          <w:color w:val="000000"/>
          <w:sz w:val="23"/>
          <w:szCs w:val="23"/>
        </w:rPr>
      </w:pPr>
    </w:p>
    <w:tbl>
      <w:tblPr>
        <w:tblStyle w:val="41"/>
        <w:tblW w:w="876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058"/>
        <w:gridCol w:w="7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jc w:val="center"/>
        </w:trPr>
        <w:tc>
          <w:tcPr>
            <w:tcW w:w="8058" w:type="dxa"/>
            <w:tcBorders>
              <w:top w:val="single" w:color="000000" w:sz="12" w:space="0"/>
            </w:tcBorders>
            <w:shd w:val="clear" w:color="auto" w:fill="C0C0C0"/>
            <w:vAlign w:val="center"/>
          </w:tcPr>
          <w:p>
            <w:pPr>
              <w:spacing w:line="240" w:lineRule="atLeast"/>
              <w:jc w:val="center"/>
              <w:rPr>
                <w:rFonts w:ascii="宋体"/>
                <w:color w:val="000000"/>
                <w:sz w:val="23"/>
                <w:szCs w:val="23"/>
              </w:rPr>
            </w:pPr>
            <w:r>
              <w:rPr>
                <w:rFonts w:hint="eastAsia" w:ascii="宋体" w:hAnsi="宋体"/>
                <w:color w:val="000000"/>
                <w:sz w:val="23"/>
                <w:szCs w:val="23"/>
              </w:rPr>
              <w:t>评分标准</w:t>
            </w:r>
          </w:p>
        </w:tc>
        <w:tc>
          <w:tcPr>
            <w:tcW w:w="709" w:type="dxa"/>
            <w:tcBorders>
              <w:top w:val="single" w:color="000000" w:sz="12" w:space="0"/>
            </w:tcBorders>
            <w:shd w:val="clear" w:color="auto" w:fill="C0C0C0"/>
            <w:vAlign w:val="center"/>
          </w:tcPr>
          <w:p>
            <w:pPr>
              <w:spacing w:line="240" w:lineRule="atLeast"/>
              <w:jc w:val="center"/>
              <w:rPr>
                <w:rFonts w:ascii="宋体"/>
                <w:bCs/>
                <w:color w:val="000000"/>
                <w:sz w:val="23"/>
                <w:szCs w:val="23"/>
              </w:rPr>
            </w:pPr>
            <w:r>
              <w:rPr>
                <w:rFonts w:hint="eastAsia" w:ascii="宋体" w:hAnsi="宋体"/>
                <w:bCs/>
                <w:color w:val="000000"/>
                <w:sz w:val="23"/>
                <w:szCs w:val="23"/>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276" w:hRule="atLeast"/>
          <w:jc w:val="center"/>
        </w:trPr>
        <w:tc>
          <w:tcPr>
            <w:tcW w:w="8058" w:type="dxa"/>
            <w:vAlign w:val="center"/>
          </w:tcPr>
          <w:p>
            <w:pPr>
              <w:pStyle w:val="18"/>
              <w:spacing w:line="300" w:lineRule="auto"/>
              <w:ind w:firstLine="0"/>
              <w:rPr>
                <w:color w:val="000000"/>
                <w:sz w:val="23"/>
                <w:szCs w:val="23"/>
              </w:rPr>
            </w:pPr>
            <w:r>
              <w:rPr>
                <w:color w:val="000000"/>
                <w:sz w:val="23"/>
                <w:szCs w:val="23"/>
              </w:rPr>
              <w:t>1</w:t>
            </w:r>
            <w:r>
              <w:rPr>
                <w:rFonts w:hint="eastAsia"/>
                <w:color w:val="000000"/>
                <w:sz w:val="23"/>
                <w:szCs w:val="23"/>
              </w:rPr>
              <w:t>、价格评审满分为</w:t>
            </w:r>
            <w:r>
              <w:rPr>
                <w:color w:val="000000"/>
                <w:sz w:val="23"/>
                <w:szCs w:val="23"/>
              </w:rPr>
              <w:t>20</w:t>
            </w:r>
            <w:r>
              <w:rPr>
                <w:rFonts w:hint="eastAsia"/>
                <w:color w:val="000000"/>
                <w:sz w:val="23"/>
                <w:szCs w:val="23"/>
              </w:rPr>
              <w:t>分，为客观计算得分。</w:t>
            </w:r>
          </w:p>
          <w:p>
            <w:pPr>
              <w:pStyle w:val="18"/>
              <w:spacing w:line="300" w:lineRule="auto"/>
              <w:ind w:firstLine="0"/>
              <w:rPr>
                <w:color w:val="000000"/>
                <w:sz w:val="23"/>
                <w:szCs w:val="23"/>
              </w:rPr>
            </w:pPr>
            <w:r>
              <w:rPr>
                <w:color w:val="000000"/>
                <w:sz w:val="23"/>
                <w:szCs w:val="23"/>
              </w:rPr>
              <w:t>2</w:t>
            </w:r>
            <w:r>
              <w:rPr>
                <w:rFonts w:hint="eastAsia"/>
                <w:color w:val="000000"/>
                <w:sz w:val="23"/>
                <w:szCs w:val="23"/>
              </w:rPr>
              <w:t>、以所有通过资格性与符合性审查的投标人的投标报价作为评审的依据，投标人价格得分评分方法如下：</w:t>
            </w:r>
          </w:p>
          <w:p>
            <w:pPr>
              <w:pStyle w:val="18"/>
              <w:spacing w:line="300" w:lineRule="auto"/>
              <w:ind w:firstLine="517" w:firstLineChars="225"/>
              <w:rPr>
                <w:color w:val="000000"/>
                <w:sz w:val="23"/>
                <w:szCs w:val="23"/>
              </w:rPr>
            </w:pPr>
            <w:r>
              <w:rPr>
                <w:rFonts w:hint="eastAsia"/>
                <w:color w:val="000000"/>
                <w:sz w:val="23"/>
                <w:szCs w:val="23"/>
              </w:rPr>
              <w:t>评标基准价＝实质性</w:t>
            </w:r>
            <w:r>
              <w:rPr>
                <w:rFonts w:hint="eastAsia" w:cs="宋体"/>
                <w:color w:val="000000"/>
                <w:sz w:val="23"/>
                <w:szCs w:val="23"/>
              </w:rPr>
              <w:t>满足招标文件要求且投标价格最低的投标报价；</w:t>
            </w:r>
          </w:p>
          <w:p>
            <w:pPr>
              <w:ind w:firstLine="460" w:firstLineChars="200"/>
              <w:jc w:val="center"/>
              <w:rPr>
                <w:rFonts w:ascii="宋体"/>
                <w:color w:val="000000"/>
                <w:sz w:val="23"/>
                <w:szCs w:val="23"/>
              </w:rPr>
            </w:pPr>
            <w:r>
              <w:rPr>
                <w:rFonts w:hint="eastAsia" w:ascii="宋体" w:hAnsi="宋体"/>
                <w:color w:val="000000"/>
                <w:sz w:val="23"/>
                <w:szCs w:val="23"/>
              </w:rPr>
              <w:t>投标人价格得分＝</w:t>
            </w:r>
            <w:r>
              <w:rPr>
                <w:rFonts w:ascii="宋体" w:hAnsi="宋体"/>
                <w:color w:val="000000"/>
                <w:sz w:val="23"/>
                <w:szCs w:val="23"/>
              </w:rPr>
              <w:fldChar w:fldCharType="begin"/>
            </w:r>
            <w:r>
              <w:rPr>
                <w:rFonts w:ascii="宋体" w:hAnsi="宋体"/>
                <w:color w:val="000000"/>
                <w:sz w:val="23"/>
                <w:szCs w:val="23"/>
              </w:rPr>
              <w:instrText xml:space="preserve"> EQ \F(</w:instrText>
            </w:r>
            <w:r>
              <w:rPr>
                <w:rFonts w:hint="eastAsia" w:ascii="宋体" w:hAnsi="宋体"/>
                <w:color w:val="000000"/>
                <w:sz w:val="23"/>
                <w:szCs w:val="23"/>
              </w:rPr>
              <w:instrText xml:space="preserve">评标基准价</w:instrText>
            </w:r>
            <w:r>
              <w:rPr>
                <w:rFonts w:ascii="宋体"/>
                <w:color w:val="000000"/>
                <w:sz w:val="23"/>
                <w:szCs w:val="23"/>
              </w:rPr>
              <w:instrText xml:space="preserve">,</w:instrText>
            </w:r>
            <w:r>
              <w:rPr>
                <w:rFonts w:hint="eastAsia" w:ascii="宋体" w:hAnsi="宋体"/>
                <w:color w:val="000000"/>
                <w:sz w:val="23"/>
                <w:szCs w:val="23"/>
              </w:rPr>
              <w:instrText xml:space="preserve">投标总价</w:instrText>
            </w:r>
            <w:r>
              <w:rPr>
                <w:rFonts w:ascii="宋体" w:hAnsi="宋体"/>
                <w:color w:val="000000"/>
                <w:sz w:val="23"/>
                <w:szCs w:val="23"/>
              </w:rPr>
              <w:instrText xml:space="preserve">)</w:instrText>
            </w:r>
            <w:r>
              <w:rPr>
                <w:rFonts w:ascii="宋体" w:hAnsi="宋体"/>
                <w:color w:val="000000"/>
                <w:sz w:val="23"/>
                <w:szCs w:val="23"/>
              </w:rPr>
              <w:fldChar w:fldCharType="end"/>
            </w:r>
            <w:r>
              <w:rPr>
                <w:rFonts w:hint="eastAsia" w:ascii="宋体" w:hAnsi="宋体"/>
                <w:color w:val="000000"/>
                <w:sz w:val="23"/>
                <w:szCs w:val="23"/>
              </w:rPr>
              <w:t>×</w:t>
            </w:r>
            <w:r>
              <w:rPr>
                <w:rFonts w:ascii="宋体" w:hAnsi="宋体"/>
                <w:color w:val="000000"/>
                <w:sz w:val="23"/>
                <w:szCs w:val="23"/>
              </w:rPr>
              <w:t>20</w:t>
            </w:r>
            <w:r>
              <w:rPr>
                <w:rFonts w:hint="eastAsia" w:ascii="宋体" w:hAnsi="宋体"/>
                <w:color w:val="000000"/>
                <w:sz w:val="23"/>
                <w:szCs w:val="23"/>
              </w:rPr>
              <w:t>。</w:t>
            </w:r>
          </w:p>
        </w:tc>
        <w:tc>
          <w:tcPr>
            <w:tcW w:w="709" w:type="dxa"/>
            <w:vAlign w:val="center"/>
          </w:tcPr>
          <w:p>
            <w:pPr>
              <w:jc w:val="center"/>
              <w:rPr>
                <w:rFonts w:ascii="宋体"/>
                <w:color w:val="000000"/>
                <w:sz w:val="23"/>
                <w:szCs w:val="23"/>
              </w:rPr>
            </w:pPr>
            <w:r>
              <w:rPr>
                <w:rFonts w:ascii="宋体" w:hAnsi="宋体"/>
                <w:color w:val="000000"/>
                <w:sz w:val="23"/>
                <w:szCs w:val="23"/>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jc w:val="center"/>
        </w:trPr>
        <w:tc>
          <w:tcPr>
            <w:tcW w:w="8058" w:type="dxa"/>
            <w:tcBorders>
              <w:bottom w:val="single" w:color="000000" w:sz="12" w:space="0"/>
            </w:tcBorders>
            <w:vAlign w:val="center"/>
          </w:tcPr>
          <w:p>
            <w:pPr>
              <w:spacing w:line="400" w:lineRule="exact"/>
              <w:jc w:val="right"/>
              <w:rPr>
                <w:rFonts w:ascii="宋体"/>
                <w:color w:val="000000"/>
                <w:sz w:val="23"/>
                <w:szCs w:val="23"/>
              </w:rPr>
            </w:pPr>
            <w:r>
              <w:rPr>
                <w:rFonts w:hint="eastAsia" w:ascii="宋体" w:hAnsi="宋体" w:cs="宋体"/>
                <w:color w:val="000000"/>
                <w:sz w:val="23"/>
                <w:szCs w:val="23"/>
                <w:lang w:val="zh-CN"/>
              </w:rPr>
              <w:t>小计</w:t>
            </w:r>
          </w:p>
        </w:tc>
        <w:tc>
          <w:tcPr>
            <w:tcW w:w="709" w:type="dxa"/>
            <w:tcBorders>
              <w:bottom w:val="single" w:color="000000" w:sz="12" w:space="0"/>
            </w:tcBorders>
            <w:vAlign w:val="center"/>
          </w:tcPr>
          <w:p>
            <w:pPr>
              <w:spacing w:line="400" w:lineRule="exact"/>
              <w:jc w:val="center"/>
              <w:rPr>
                <w:rFonts w:ascii="宋体"/>
                <w:color w:val="000000"/>
                <w:sz w:val="23"/>
                <w:szCs w:val="23"/>
              </w:rPr>
            </w:pPr>
            <w:r>
              <w:rPr>
                <w:rFonts w:ascii="宋体" w:hAnsi="宋体"/>
                <w:color w:val="000000"/>
                <w:sz w:val="23"/>
                <w:szCs w:val="23"/>
              </w:rPr>
              <w:t>20</w:t>
            </w:r>
          </w:p>
        </w:tc>
      </w:tr>
    </w:tbl>
    <w:p>
      <w:pPr>
        <w:rPr>
          <w:rFonts w:ascii="仿宋_GB2312" w:hAnsi="宋体" w:eastAsia="仿宋_GB2312"/>
          <w:color w:val="000000"/>
          <w:sz w:val="23"/>
          <w:szCs w:val="23"/>
        </w:rPr>
      </w:pPr>
    </w:p>
    <w:p>
      <w:pPr>
        <w:rPr>
          <w:rFonts w:ascii="仿宋_GB2312" w:hAnsi="宋体" w:eastAsia="仿宋_GB2312"/>
          <w:color w:val="000000"/>
          <w:sz w:val="23"/>
          <w:szCs w:val="23"/>
        </w:rPr>
      </w:pPr>
      <w:r>
        <w:rPr>
          <w:rFonts w:ascii="仿宋_GB2312" w:hAnsi="宋体" w:eastAsia="仿宋_GB2312"/>
          <w:color w:val="000000"/>
          <w:sz w:val="23"/>
          <w:szCs w:val="23"/>
        </w:rPr>
        <w:br w:type="page"/>
      </w:r>
    </w:p>
    <w:p>
      <w:pPr>
        <w:snapToGrid w:val="0"/>
        <w:rPr>
          <w:rFonts w:ascii="宋体" w:hAnsi="Arial"/>
          <w:color w:val="000000"/>
          <w:sz w:val="23"/>
          <w:szCs w:val="23"/>
        </w:rPr>
      </w:pPr>
      <w:r>
        <w:rPr>
          <w:rFonts w:hint="eastAsia" w:ascii="宋体" w:hAnsi="Arial"/>
          <w:color w:val="000000"/>
          <w:sz w:val="23"/>
          <w:szCs w:val="23"/>
        </w:rPr>
        <w:t>附表四</w:t>
      </w:r>
    </w:p>
    <w:p>
      <w:pPr>
        <w:rPr>
          <w:rFonts w:ascii="仿宋_GB2312" w:hAnsi="宋体" w:eastAsia="仿宋_GB2312"/>
          <w:color w:val="000000"/>
          <w:sz w:val="23"/>
          <w:szCs w:val="23"/>
        </w:rPr>
      </w:pPr>
    </w:p>
    <w:p>
      <w:pPr>
        <w:snapToGrid w:val="0"/>
        <w:jc w:val="center"/>
        <w:rPr>
          <w:rFonts w:ascii="宋体" w:hAnsi="Arial"/>
          <w:color w:val="000000"/>
          <w:sz w:val="23"/>
          <w:szCs w:val="23"/>
        </w:rPr>
      </w:pPr>
      <w:r>
        <w:rPr>
          <w:rFonts w:hint="eastAsia" w:ascii="宋体" w:hAnsi="Arial"/>
          <w:color w:val="000000"/>
          <w:sz w:val="23"/>
          <w:szCs w:val="23"/>
        </w:rPr>
        <w:t>商务评分表</w:t>
      </w:r>
    </w:p>
    <w:p>
      <w:pPr>
        <w:snapToGrid w:val="0"/>
        <w:jc w:val="center"/>
        <w:rPr>
          <w:rFonts w:ascii="仿宋" w:hAnsi="仿宋" w:eastAsia="仿宋"/>
          <w:color w:val="000000"/>
          <w:sz w:val="23"/>
          <w:szCs w:val="23"/>
        </w:rPr>
      </w:pPr>
    </w:p>
    <w:tbl>
      <w:tblPr>
        <w:tblStyle w:val="41"/>
        <w:tblpPr w:leftFromText="180" w:rightFromText="180" w:vertAnchor="text" w:horzAnchor="page" w:tblpXSpec="center" w:tblpY="19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214"/>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59" w:type="dxa"/>
            <w:vAlign w:val="center"/>
          </w:tcPr>
          <w:p>
            <w:pPr>
              <w:widowControl/>
              <w:jc w:val="center"/>
              <w:rPr>
                <w:rFonts w:ascii="宋体"/>
                <w:bCs/>
                <w:color w:val="000000"/>
                <w:sz w:val="23"/>
                <w:szCs w:val="23"/>
              </w:rPr>
            </w:pPr>
            <w:r>
              <w:rPr>
                <w:rFonts w:hint="eastAsia" w:ascii="宋体" w:hAnsi="宋体" w:cs="仿宋"/>
                <w:bCs/>
                <w:color w:val="000000"/>
                <w:sz w:val="23"/>
                <w:szCs w:val="23"/>
              </w:rPr>
              <w:t>序号</w:t>
            </w:r>
          </w:p>
        </w:tc>
        <w:tc>
          <w:tcPr>
            <w:tcW w:w="1276" w:type="dxa"/>
            <w:vAlign w:val="center"/>
          </w:tcPr>
          <w:p>
            <w:pPr>
              <w:widowControl/>
              <w:jc w:val="center"/>
              <w:rPr>
                <w:rFonts w:ascii="宋体"/>
                <w:bCs/>
                <w:color w:val="000000"/>
                <w:sz w:val="23"/>
                <w:szCs w:val="23"/>
              </w:rPr>
            </w:pPr>
            <w:r>
              <w:rPr>
                <w:rFonts w:hint="eastAsia" w:ascii="宋体" w:hAnsi="宋体" w:cs="仿宋"/>
                <w:bCs/>
                <w:color w:val="000000"/>
                <w:sz w:val="23"/>
                <w:szCs w:val="23"/>
              </w:rPr>
              <w:t>评审项目</w:t>
            </w:r>
          </w:p>
        </w:tc>
        <w:tc>
          <w:tcPr>
            <w:tcW w:w="6214" w:type="dxa"/>
            <w:vAlign w:val="center"/>
          </w:tcPr>
          <w:p>
            <w:pPr>
              <w:widowControl/>
              <w:jc w:val="center"/>
              <w:rPr>
                <w:rFonts w:ascii="宋体"/>
                <w:bCs/>
                <w:color w:val="000000"/>
                <w:sz w:val="23"/>
                <w:szCs w:val="23"/>
              </w:rPr>
            </w:pPr>
            <w:r>
              <w:rPr>
                <w:rFonts w:hint="eastAsia" w:ascii="宋体" w:hAnsi="宋体" w:cs="仿宋"/>
                <w:bCs/>
                <w:color w:val="000000"/>
                <w:sz w:val="23"/>
                <w:szCs w:val="23"/>
              </w:rPr>
              <w:t>评审细则</w:t>
            </w:r>
          </w:p>
        </w:tc>
        <w:tc>
          <w:tcPr>
            <w:tcW w:w="731" w:type="dxa"/>
            <w:vAlign w:val="center"/>
          </w:tcPr>
          <w:p>
            <w:pPr>
              <w:widowControl/>
              <w:jc w:val="center"/>
              <w:rPr>
                <w:rFonts w:ascii="宋体"/>
                <w:bCs/>
                <w:color w:val="000000"/>
                <w:sz w:val="23"/>
                <w:szCs w:val="23"/>
              </w:rPr>
            </w:pPr>
            <w:r>
              <w:rPr>
                <w:rFonts w:hint="eastAsia" w:ascii="宋体" w:hAnsi="宋体" w:cs="仿宋"/>
                <w:bCs/>
                <w:color w:val="000000"/>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59" w:type="dxa"/>
            <w:vAlign w:val="center"/>
          </w:tcPr>
          <w:p>
            <w:pPr>
              <w:pStyle w:val="90"/>
              <w:ind w:firstLine="0" w:firstLineChars="0"/>
              <w:jc w:val="center"/>
              <w:rPr>
                <w:rFonts w:ascii="宋体" w:hAnsi="宋体"/>
                <w:color w:val="000000"/>
                <w:sz w:val="23"/>
                <w:szCs w:val="23"/>
              </w:rPr>
            </w:pPr>
            <w:r>
              <w:rPr>
                <w:rFonts w:ascii="宋体" w:hAnsi="宋体"/>
                <w:color w:val="000000"/>
                <w:sz w:val="23"/>
                <w:szCs w:val="23"/>
              </w:rPr>
              <w:t>1</w:t>
            </w:r>
          </w:p>
        </w:tc>
        <w:tc>
          <w:tcPr>
            <w:tcW w:w="1276" w:type="dxa"/>
            <w:vAlign w:val="center"/>
          </w:tcPr>
          <w:p>
            <w:pPr>
              <w:pStyle w:val="114"/>
              <w:widowControl w:val="0"/>
              <w:jc w:val="center"/>
              <w:rPr>
                <w:rFonts w:ascii="宋体" w:cs="宋体"/>
                <w:color w:val="000000"/>
                <w:sz w:val="23"/>
                <w:szCs w:val="23"/>
              </w:rPr>
            </w:pPr>
            <w:r>
              <w:rPr>
                <w:rFonts w:hint="eastAsia" w:ascii="宋体" w:hAnsi="宋体" w:cs="宋体"/>
                <w:color w:val="000000"/>
                <w:sz w:val="23"/>
                <w:szCs w:val="23"/>
              </w:rPr>
              <w:t>商务响应程度</w:t>
            </w:r>
          </w:p>
        </w:tc>
        <w:tc>
          <w:tcPr>
            <w:tcW w:w="6214" w:type="dxa"/>
            <w:vAlign w:val="center"/>
          </w:tcPr>
          <w:p>
            <w:pPr>
              <w:pStyle w:val="156"/>
              <w:autoSpaceDE/>
              <w:jc w:val="both"/>
              <w:rPr>
                <w:rFonts w:hAnsi="宋体"/>
                <w:sz w:val="23"/>
                <w:szCs w:val="23"/>
              </w:rPr>
            </w:pPr>
            <w:r>
              <w:rPr>
                <w:rFonts w:hint="eastAsia" w:hAnsi="宋体" w:cs="仿宋"/>
                <w:sz w:val="23"/>
                <w:szCs w:val="23"/>
              </w:rPr>
              <w:t>投标人对招标文件所投包组的商务要求的响应程度：优于的，得</w:t>
            </w:r>
            <w:r>
              <w:rPr>
                <w:rFonts w:hAnsi="宋体" w:cs="仿宋"/>
                <w:sz w:val="23"/>
                <w:szCs w:val="23"/>
              </w:rPr>
              <w:t>6</w:t>
            </w:r>
            <w:r>
              <w:rPr>
                <w:rFonts w:hint="eastAsia" w:hAnsi="宋体" w:cs="仿宋"/>
                <w:sz w:val="23"/>
                <w:szCs w:val="23"/>
              </w:rPr>
              <w:t>分；完全满足的，得</w:t>
            </w:r>
            <w:r>
              <w:rPr>
                <w:rFonts w:hAnsi="宋体" w:cs="仿宋"/>
                <w:sz w:val="23"/>
                <w:szCs w:val="23"/>
              </w:rPr>
              <w:t>4</w:t>
            </w:r>
            <w:r>
              <w:rPr>
                <w:rFonts w:hint="eastAsia" w:hAnsi="宋体" w:cs="仿宋"/>
                <w:sz w:val="23"/>
                <w:szCs w:val="23"/>
              </w:rPr>
              <w:t>分；不满足的，得</w:t>
            </w:r>
            <w:r>
              <w:rPr>
                <w:rFonts w:hAnsi="宋体" w:cs="仿宋"/>
                <w:sz w:val="23"/>
                <w:szCs w:val="23"/>
              </w:rPr>
              <w:t>0</w:t>
            </w:r>
            <w:r>
              <w:rPr>
                <w:rFonts w:hint="eastAsia" w:hAnsi="宋体" w:cs="仿宋"/>
                <w:sz w:val="23"/>
                <w:szCs w:val="23"/>
              </w:rPr>
              <w:t>分。</w:t>
            </w:r>
          </w:p>
        </w:tc>
        <w:tc>
          <w:tcPr>
            <w:tcW w:w="731" w:type="dxa"/>
            <w:vAlign w:val="center"/>
          </w:tcPr>
          <w:p>
            <w:pPr>
              <w:jc w:val="center"/>
              <w:rPr>
                <w:rFonts w:ascii="宋体"/>
                <w:color w:val="000000"/>
                <w:sz w:val="23"/>
                <w:szCs w:val="23"/>
              </w:rPr>
            </w:pPr>
            <w:r>
              <w:rPr>
                <w:rFonts w:ascii="宋体" w:hAnsi="宋体"/>
                <w:color w:val="000000"/>
                <w:sz w:val="23"/>
                <w:szCs w:val="23"/>
              </w:rPr>
              <w:t>6</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59" w:type="dxa"/>
            <w:vAlign w:val="center"/>
          </w:tcPr>
          <w:p>
            <w:pPr>
              <w:pStyle w:val="90"/>
              <w:ind w:firstLine="0" w:firstLineChars="0"/>
              <w:jc w:val="center"/>
              <w:rPr>
                <w:rFonts w:ascii="宋体" w:hAnsi="宋体"/>
                <w:color w:val="000000"/>
                <w:sz w:val="23"/>
                <w:szCs w:val="23"/>
              </w:rPr>
            </w:pPr>
            <w:r>
              <w:rPr>
                <w:rFonts w:ascii="宋体" w:hAnsi="宋体"/>
                <w:color w:val="000000"/>
                <w:sz w:val="23"/>
                <w:szCs w:val="23"/>
              </w:rPr>
              <w:t>2</w:t>
            </w:r>
          </w:p>
        </w:tc>
        <w:tc>
          <w:tcPr>
            <w:tcW w:w="1276" w:type="dxa"/>
            <w:vAlign w:val="center"/>
          </w:tcPr>
          <w:p>
            <w:pPr>
              <w:pStyle w:val="156"/>
              <w:autoSpaceDE/>
              <w:jc w:val="both"/>
              <w:rPr>
                <w:rFonts w:hAnsi="宋体"/>
                <w:sz w:val="23"/>
                <w:szCs w:val="23"/>
              </w:rPr>
            </w:pPr>
            <w:r>
              <w:rPr>
                <w:rFonts w:hint="eastAsia" w:hAnsi="宋体" w:cs="仿宋"/>
                <w:sz w:val="23"/>
                <w:szCs w:val="23"/>
              </w:rPr>
              <w:t>业绩证明</w:t>
            </w:r>
          </w:p>
        </w:tc>
        <w:tc>
          <w:tcPr>
            <w:tcW w:w="6214" w:type="dxa"/>
            <w:vAlign w:val="center"/>
          </w:tcPr>
          <w:p>
            <w:pPr>
              <w:pStyle w:val="156"/>
              <w:autoSpaceDE/>
              <w:jc w:val="both"/>
              <w:rPr>
                <w:rFonts w:hAnsi="宋体" w:cs="仿宋"/>
                <w:sz w:val="23"/>
                <w:szCs w:val="23"/>
              </w:rPr>
            </w:pPr>
            <w:r>
              <w:rPr>
                <w:rFonts w:hAnsi="宋体" w:cs="仿宋"/>
                <w:sz w:val="23"/>
                <w:szCs w:val="23"/>
              </w:rPr>
              <w:t>2016</w:t>
            </w:r>
            <w:r>
              <w:rPr>
                <w:rFonts w:hint="eastAsia" w:hAnsi="宋体" w:cs="仿宋"/>
                <w:sz w:val="23"/>
                <w:szCs w:val="23"/>
              </w:rPr>
              <w:t>年</w:t>
            </w:r>
            <w:r>
              <w:rPr>
                <w:rFonts w:hAnsi="宋体" w:cs="仿宋"/>
                <w:sz w:val="23"/>
                <w:szCs w:val="23"/>
              </w:rPr>
              <w:t>1</w:t>
            </w:r>
            <w:r>
              <w:rPr>
                <w:rFonts w:hint="eastAsia" w:hAnsi="宋体" w:cs="仿宋"/>
                <w:sz w:val="23"/>
                <w:szCs w:val="23"/>
              </w:rPr>
              <w:t>月</w:t>
            </w:r>
            <w:r>
              <w:rPr>
                <w:rFonts w:hAnsi="宋体" w:cs="仿宋"/>
                <w:sz w:val="23"/>
                <w:szCs w:val="23"/>
              </w:rPr>
              <w:t>1</w:t>
            </w:r>
            <w:r>
              <w:rPr>
                <w:rFonts w:hint="eastAsia" w:hAnsi="宋体" w:cs="仿宋"/>
                <w:sz w:val="23"/>
                <w:szCs w:val="23"/>
              </w:rPr>
              <w:t>日以来（以合同签订时间为准）承接过同类项目的业绩：项目金额高于本次招标预算每个业绩得</w:t>
            </w:r>
            <w:r>
              <w:rPr>
                <w:rFonts w:hAnsi="宋体" w:cs="仿宋"/>
                <w:sz w:val="23"/>
                <w:szCs w:val="23"/>
              </w:rPr>
              <w:t>2</w:t>
            </w:r>
            <w:r>
              <w:rPr>
                <w:rFonts w:hint="eastAsia" w:hAnsi="宋体" w:cs="仿宋"/>
                <w:sz w:val="23"/>
                <w:szCs w:val="23"/>
              </w:rPr>
              <w:t>分，项目金额低于本次招标预算每个业绩得1分，最多得</w:t>
            </w:r>
            <w:r>
              <w:rPr>
                <w:rFonts w:hAnsi="宋体" w:cs="仿宋"/>
                <w:sz w:val="23"/>
                <w:szCs w:val="23"/>
              </w:rPr>
              <w:t>16</w:t>
            </w:r>
            <w:r>
              <w:rPr>
                <w:rFonts w:hint="eastAsia" w:hAnsi="宋体" w:cs="仿宋"/>
                <w:sz w:val="23"/>
                <w:szCs w:val="23"/>
              </w:rPr>
              <w:t>分，不提供不得分。</w:t>
            </w:r>
          </w:p>
          <w:p>
            <w:pPr>
              <w:pStyle w:val="156"/>
              <w:autoSpaceDE/>
              <w:jc w:val="both"/>
              <w:rPr>
                <w:rFonts w:hAnsi="宋体" w:cs="仿宋"/>
                <w:sz w:val="23"/>
                <w:szCs w:val="23"/>
              </w:rPr>
            </w:pPr>
            <w:r>
              <w:rPr>
                <w:rFonts w:hint="eastAsia" w:hAnsi="宋体" w:cs="仿宋"/>
                <w:sz w:val="23"/>
                <w:szCs w:val="23"/>
              </w:rPr>
              <w:t>注：投标人须提供每个业绩的证明材料，并加盖投标人公章，缺少任何一份材料都作为无效业绩处理：</w:t>
            </w:r>
          </w:p>
        </w:tc>
        <w:tc>
          <w:tcPr>
            <w:tcW w:w="731" w:type="dxa"/>
            <w:vAlign w:val="center"/>
          </w:tcPr>
          <w:p>
            <w:pPr>
              <w:jc w:val="center"/>
              <w:rPr>
                <w:rFonts w:ascii="宋体"/>
                <w:color w:val="000000"/>
                <w:sz w:val="23"/>
                <w:szCs w:val="23"/>
              </w:rPr>
            </w:pPr>
            <w:r>
              <w:rPr>
                <w:rFonts w:ascii="宋体" w:hAnsi="宋体"/>
                <w:color w:val="000000"/>
                <w:sz w:val="23"/>
                <w:szCs w:val="23"/>
              </w:rPr>
              <w:t>16</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959" w:type="dxa"/>
            <w:vAlign w:val="center"/>
          </w:tcPr>
          <w:p>
            <w:pPr>
              <w:widowControl/>
              <w:jc w:val="center"/>
              <w:rPr>
                <w:rFonts w:ascii="宋体"/>
                <w:bCs/>
                <w:color w:val="000000"/>
                <w:sz w:val="23"/>
                <w:szCs w:val="23"/>
              </w:rPr>
            </w:pPr>
            <w:r>
              <w:rPr>
                <w:rFonts w:ascii="宋体" w:hAnsi="宋体" w:cs="仿宋"/>
                <w:color w:val="000000"/>
                <w:kern w:val="0"/>
                <w:sz w:val="23"/>
                <w:szCs w:val="23"/>
              </w:rPr>
              <w:t>3</w:t>
            </w:r>
          </w:p>
        </w:tc>
        <w:tc>
          <w:tcPr>
            <w:tcW w:w="1276" w:type="dxa"/>
            <w:vAlign w:val="center"/>
          </w:tcPr>
          <w:p>
            <w:pPr>
              <w:adjustRightInd w:val="0"/>
              <w:rPr>
                <w:color w:val="000000"/>
                <w:sz w:val="23"/>
                <w:szCs w:val="23"/>
              </w:rPr>
            </w:pPr>
            <w:r>
              <w:rPr>
                <w:rFonts w:hint="eastAsia"/>
                <w:color w:val="000000"/>
                <w:sz w:val="23"/>
                <w:szCs w:val="23"/>
              </w:rPr>
              <w:t>企业资信情况</w:t>
            </w:r>
          </w:p>
        </w:tc>
        <w:tc>
          <w:tcPr>
            <w:tcW w:w="6214" w:type="dxa"/>
            <w:vAlign w:val="center"/>
          </w:tcPr>
          <w:p>
            <w:pPr>
              <w:rPr>
                <w:color w:val="000000"/>
                <w:sz w:val="23"/>
                <w:szCs w:val="23"/>
              </w:rPr>
            </w:pPr>
            <w:r>
              <w:rPr>
                <w:color w:val="000000"/>
                <w:sz w:val="23"/>
                <w:szCs w:val="23"/>
              </w:rPr>
              <w:t>1</w:t>
            </w:r>
            <w:r>
              <w:rPr>
                <w:rFonts w:hint="eastAsia"/>
                <w:color w:val="000000"/>
                <w:sz w:val="23"/>
                <w:szCs w:val="23"/>
              </w:rPr>
              <w:t>、</w:t>
            </w:r>
            <w:r>
              <w:rPr>
                <w:color w:val="000000"/>
                <w:sz w:val="23"/>
                <w:szCs w:val="23"/>
              </w:rPr>
              <w:t>2015</w:t>
            </w:r>
            <w:r>
              <w:rPr>
                <w:rFonts w:hint="eastAsia"/>
                <w:color w:val="000000"/>
                <w:sz w:val="23"/>
                <w:szCs w:val="23"/>
              </w:rPr>
              <w:t>年以来投标人获得工商行政主管部门颁发的“守合同重信用”荣誉称号：连续</w:t>
            </w:r>
            <w:r>
              <w:rPr>
                <w:color w:val="000000"/>
                <w:sz w:val="23"/>
                <w:szCs w:val="23"/>
              </w:rPr>
              <w:t>2</w:t>
            </w:r>
            <w:r>
              <w:rPr>
                <w:rFonts w:hint="eastAsia"/>
                <w:color w:val="000000"/>
                <w:sz w:val="23"/>
                <w:szCs w:val="23"/>
              </w:rPr>
              <w:t>年或以上得</w:t>
            </w:r>
            <w:r>
              <w:rPr>
                <w:color w:val="000000"/>
                <w:sz w:val="23"/>
                <w:szCs w:val="23"/>
              </w:rPr>
              <w:t>4</w:t>
            </w:r>
            <w:r>
              <w:rPr>
                <w:rFonts w:hint="eastAsia"/>
                <w:color w:val="000000"/>
                <w:sz w:val="23"/>
                <w:szCs w:val="23"/>
              </w:rPr>
              <w:t>分，</w:t>
            </w:r>
            <w:r>
              <w:rPr>
                <w:color w:val="000000"/>
                <w:sz w:val="23"/>
                <w:szCs w:val="23"/>
              </w:rPr>
              <w:t>1</w:t>
            </w:r>
            <w:r>
              <w:rPr>
                <w:rFonts w:hint="eastAsia"/>
                <w:color w:val="000000"/>
                <w:sz w:val="23"/>
                <w:szCs w:val="23"/>
              </w:rPr>
              <w:t>年得</w:t>
            </w:r>
            <w:r>
              <w:rPr>
                <w:color w:val="000000"/>
                <w:sz w:val="23"/>
                <w:szCs w:val="23"/>
              </w:rPr>
              <w:t>2</w:t>
            </w:r>
            <w:r>
              <w:rPr>
                <w:rFonts w:hint="eastAsia"/>
                <w:color w:val="000000"/>
                <w:sz w:val="23"/>
                <w:szCs w:val="23"/>
              </w:rPr>
              <w:t>分，其他不得分。</w:t>
            </w:r>
          </w:p>
          <w:p>
            <w:pPr>
              <w:rPr>
                <w:color w:val="000000"/>
                <w:sz w:val="23"/>
                <w:szCs w:val="23"/>
              </w:rPr>
            </w:pPr>
            <w:r>
              <w:rPr>
                <w:color w:val="000000"/>
                <w:sz w:val="23"/>
                <w:szCs w:val="23"/>
              </w:rPr>
              <w:t>2.ISO</w:t>
            </w:r>
            <w:r>
              <w:rPr>
                <w:rFonts w:hint="eastAsia"/>
                <w:color w:val="000000"/>
                <w:sz w:val="23"/>
                <w:szCs w:val="23"/>
              </w:rPr>
              <w:t>质量体系认证：有</w:t>
            </w:r>
            <w:r>
              <w:rPr>
                <w:color w:val="000000"/>
                <w:sz w:val="23"/>
                <w:szCs w:val="23"/>
              </w:rPr>
              <w:t>4</w:t>
            </w:r>
            <w:r>
              <w:rPr>
                <w:rFonts w:hint="eastAsia"/>
                <w:color w:val="000000"/>
                <w:sz w:val="23"/>
                <w:szCs w:val="23"/>
              </w:rPr>
              <w:t>分，无</w:t>
            </w:r>
            <w:r>
              <w:rPr>
                <w:color w:val="000000"/>
                <w:sz w:val="23"/>
                <w:szCs w:val="23"/>
              </w:rPr>
              <w:t>0</w:t>
            </w:r>
            <w:r>
              <w:rPr>
                <w:rFonts w:hint="eastAsia"/>
                <w:color w:val="000000"/>
                <w:sz w:val="23"/>
                <w:szCs w:val="23"/>
              </w:rPr>
              <w:t>分。</w:t>
            </w:r>
          </w:p>
          <w:p>
            <w:pPr>
              <w:rPr>
                <w:color w:val="000000"/>
                <w:sz w:val="23"/>
                <w:szCs w:val="23"/>
              </w:rPr>
            </w:pPr>
            <w:r>
              <w:rPr>
                <w:rFonts w:hint="eastAsia"/>
                <w:color w:val="000000"/>
                <w:sz w:val="23"/>
                <w:szCs w:val="23"/>
              </w:rPr>
              <w:t>注：以提供有效的证书复印件并加盖投标人公章为准，未提供或证书无效的不得分。</w:t>
            </w:r>
          </w:p>
          <w:p>
            <w:pPr>
              <w:rPr>
                <w:color w:val="000000"/>
                <w:sz w:val="23"/>
                <w:szCs w:val="23"/>
              </w:rPr>
            </w:pPr>
          </w:p>
        </w:tc>
        <w:tc>
          <w:tcPr>
            <w:tcW w:w="731" w:type="dxa"/>
            <w:vAlign w:val="center"/>
          </w:tcPr>
          <w:p>
            <w:pPr>
              <w:jc w:val="center"/>
              <w:rPr>
                <w:rFonts w:ascii="宋体"/>
                <w:color w:val="000000"/>
                <w:sz w:val="23"/>
                <w:szCs w:val="23"/>
              </w:rPr>
            </w:pPr>
            <w:r>
              <w:rPr>
                <w:rFonts w:ascii="宋体" w:hAnsi="宋体"/>
                <w:color w:val="000000"/>
                <w:sz w:val="23"/>
                <w:szCs w:val="23"/>
              </w:rPr>
              <w:t>8</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9" w:type="dxa"/>
            <w:gridSpan w:val="3"/>
            <w:vAlign w:val="center"/>
          </w:tcPr>
          <w:p>
            <w:pPr>
              <w:jc w:val="center"/>
              <w:rPr>
                <w:rFonts w:ascii="宋体"/>
                <w:color w:val="000000"/>
                <w:sz w:val="23"/>
                <w:szCs w:val="23"/>
              </w:rPr>
            </w:pPr>
            <w:r>
              <w:rPr>
                <w:rFonts w:hint="eastAsia" w:ascii="宋体" w:hAnsi="宋体" w:cs="仿宋"/>
                <w:color w:val="000000"/>
                <w:sz w:val="23"/>
                <w:szCs w:val="23"/>
              </w:rPr>
              <w:t>合计</w:t>
            </w:r>
          </w:p>
        </w:tc>
        <w:tc>
          <w:tcPr>
            <w:tcW w:w="731" w:type="dxa"/>
            <w:vAlign w:val="center"/>
          </w:tcPr>
          <w:p>
            <w:pPr>
              <w:rPr>
                <w:rFonts w:ascii="宋体"/>
                <w:color w:val="000000"/>
                <w:sz w:val="23"/>
                <w:szCs w:val="23"/>
              </w:rPr>
            </w:pPr>
            <w:r>
              <w:rPr>
                <w:rFonts w:ascii="宋体" w:hAnsi="宋体" w:cs="宋体"/>
                <w:color w:val="000000"/>
                <w:sz w:val="23"/>
                <w:szCs w:val="23"/>
                <w:lang w:val="zh-CN"/>
              </w:rPr>
              <w:fldChar w:fldCharType="begin"/>
            </w:r>
            <w:r>
              <w:rPr>
                <w:rFonts w:ascii="宋体" w:hAnsi="宋体" w:cs="宋体"/>
                <w:color w:val="000000"/>
                <w:sz w:val="23"/>
                <w:szCs w:val="23"/>
                <w:lang w:val="zh-CN"/>
              </w:rPr>
              <w:instrText xml:space="preserve">=SUM(ABOVE)</w:instrText>
            </w:r>
            <w:r>
              <w:rPr>
                <w:rFonts w:ascii="宋体" w:hAnsi="宋体" w:cs="宋体"/>
                <w:color w:val="000000"/>
                <w:sz w:val="23"/>
                <w:szCs w:val="23"/>
                <w:lang w:val="zh-CN"/>
              </w:rPr>
              <w:fldChar w:fldCharType="separate"/>
            </w:r>
            <w:r>
              <w:rPr>
                <w:rFonts w:ascii="宋体" w:hAnsi="宋体" w:cs="宋体"/>
                <w:color w:val="000000"/>
                <w:sz w:val="23"/>
                <w:szCs w:val="23"/>
                <w:lang w:val="zh-CN"/>
              </w:rPr>
              <w:t>3</w:t>
            </w:r>
            <w:r>
              <w:rPr>
                <w:rFonts w:ascii="宋体" w:cs="宋体"/>
                <w:color w:val="000000"/>
                <w:sz w:val="23"/>
                <w:szCs w:val="23"/>
                <w:lang w:val="zh-CN"/>
              </w:rPr>
              <w:t>0</w:t>
            </w:r>
            <w:r>
              <w:rPr>
                <w:rFonts w:ascii="宋体" w:hAnsi="宋体" w:cs="宋体"/>
                <w:color w:val="000000"/>
                <w:sz w:val="23"/>
                <w:szCs w:val="23"/>
                <w:lang w:val="zh-CN"/>
              </w:rPr>
              <w:fldChar w:fldCharType="end"/>
            </w:r>
            <w:r>
              <w:rPr>
                <w:rFonts w:hint="eastAsia" w:ascii="宋体" w:hAnsi="宋体" w:cs="宋体"/>
                <w:color w:val="000000"/>
                <w:sz w:val="23"/>
                <w:szCs w:val="23"/>
                <w:lang w:val="zh-CN"/>
              </w:rPr>
              <w:t>分</w:t>
            </w:r>
          </w:p>
        </w:tc>
      </w:tr>
    </w:tbl>
    <w:p>
      <w:pPr>
        <w:widowControl/>
        <w:jc w:val="left"/>
        <w:rPr>
          <w:rFonts w:ascii="宋体" w:hAnsi="Arial"/>
          <w:color w:val="000000"/>
          <w:sz w:val="23"/>
          <w:szCs w:val="23"/>
        </w:rPr>
      </w:pPr>
      <w:r>
        <w:rPr>
          <w:rFonts w:ascii="宋体" w:hAnsi="Arial"/>
          <w:color w:val="000000"/>
          <w:sz w:val="23"/>
          <w:szCs w:val="23"/>
        </w:rPr>
        <w:br w:type="page"/>
      </w:r>
      <w:r>
        <w:rPr>
          <w:rFonts w:hint="eastAsia" w:ascii="宋体" w:hAnsi="Arial"/>
          <w:color w:val="000000"/>
          <w:sz w:val="23"/>
          <w:szCs w:val="23"/>
        </w:rPr>
        <w:t>附表五</w:t>
      </w:r>
    </w:p>
    <w:p>
      <w:pPr>
        <w:jc w:val="center"/>
        <w:rPr>
          <w:rFonts w:ascii="宋体" w:hAnsi="Arial"/>
          <w:color w:val="000000"/>
          <w:sz w:val="23"/>
          <w:szCs w:val="23"/>
        </w:rPr>
      </w:pPr>
      <w:r>
        <w:rPr>
          <w:rFonts w:hint="eastAsia" w:ascii="宋体" w:hAnsi="Arial"/>
          <w:color w:val="000000"/>
          <w:sz w:val="23"/>
          <w:szCs w:val="23"/>
        </w:rPr>
        <w:t>技术评分表</w:t>
      </w:r>
      <w:r>
        <w:rPr>
          <w:rFonts w:ascii="宋体" w:hAnsi="Arial"/>
          <w:color w:val="000000"/>
          <w:sz w:val="23"/>
          <w:szCs w:val="23"/>
        </w:rPr>
        <w:t xml:space="preserve"> </w:t>
      </w:r>
    </w:p>
    <w:tbl>
      <w:tblPr>
        <w:tblStyle w:val="41"/>
        <w:tblpPr w:leftFromText="180" w:rightFromText="180" w:vertAnchor="text" w:horzAnchor="page" w:tblpXSpec="center" w:tblpY="39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76"/>
        <w:gridCol w:w="6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51" w:type="dxa"/>
            <w:vAlign w:val="center"/>
          </w:tcPr>
          <w:p>
            <w:pPr>
              <w:widowControl/>
              <w:adjustRightInd w:val="0"/>
              <w:snapToGrid w:val="0"/>
              <w:spacing w:line="360" w:lineRule="exact"/>
              <w:jc w:val="center"/>
              <w:rPr>
                <w:rFonts w:ascii="宋体"/>
                <w:bCs/>
                <w:color w:val="000000"/>
                <w:kern w:val="0"/>
                <w:sz w:val="23"/>
                <w:szCs w:val="23"/>
              </w:rPr>
            </w:pPr>
            <w:r>
              <w:rPr>
                <w:rFonts w:hint="eastAsia" w:ascii="宋体" w:hAnsi="宋体" w:cs="仿宋"/>
                <w:bCs/>
                <w:color w:val="000000"/>
                <w:kern w:val="0"/>
                <w:sz w:val="23"/>
                <w:szCs w:val="23"/>
              </w:rPr>
              <w:t>序号</w:t>
            </w:r>
          </w:p>
        </w:tc>
        <w:tc>
          <w:tcPr>
            <w:tcW w:w="1376" w:type="dxa"/>
            <w:vAlign w:val="center"/>
          </w:tcPr>
          <w:p>
            <w:pPr>
              <w:widowControl/>
              <w:adjustRightInd w:val="0"/>
              <w:snapToGrid w:val="0"/>
              <w:spacing w:line="360" w:lineRule="exact"/>
              <w:jc w:val="center"/>
              <w:rPr>
                <w:rFonts w:ascii="宋体" w:cs="仿宋"/>
                <w:bCs/>
                <w:color w:val="000000"/>
                <w:sz w:val="23"/>
                <w:szCs w:val="23"/>
              </w:rPr>
            </w:pPr>
            <w:r>
              <w:rPr>
                <w:rFonts w:hint="eastAsia" w:ascii="宋体" w:hAnsi="宋体" w:cs="仿宋"/>
                <w:bCs/>
                <w:color w:val="000000"/>
                <w:sz w:val="23"/>
                <w:szCs w:val="23"/>
              </w:rPr>
              <w:t>评审项目</w:t>
            </w:r>
          </w:p>
        </w:tc>
        <w:tc>
          <w:tcPr>
            <w:tcW w:w="6430" w:type="dxa"/>
            <w:vAlign w:val="center"/>
          </w:tcPr>
          <w:p>
            <w:pPr>
              <w:adjustRightInd w:val="0"/>
              <w:snapToGrid w:val="0"/>
              <w:spacing w:line="360" w:lineRule="exact"/>
              <w:jc w:val="center"/>
              <w:rPr>
                <w:rFonts w:ascii="宋体" w:cs="仿宋"/>
                <w:bCs/>
                <w:color w:val="000000"/>
                <w:sz w:val="23"/>
                <w:szCs w:val="23"/>
              </w:rPr>
            </w:pPr>
            <w:r>
              <w:rPr>
                <w:rFonts w:hint="eastAsia" w:ascii="宋体" w:hAnsi="宋体" w:cs="仿宋"/>
                <w:bCs/>
                <w:color w:val="000000"/>
                <w:sz w:val="23"/>
                <w:szCs w:val="23"/>
              </w:rPr>
              <w:t>评审细则</w:t>
            </w:r>
          </w:p>
        </w:tc>
        <w:tc>
          <w:tcPr>
            <w:tcW w:w="765" w:type="dxa"/>
            <w:vAlign w:val="center"/>
          </w:tcPr>
          <w:p>
            <w:pPr>
              <w:widowControl/>
              <w:adjustRightInd w:val="0"/>
              <w:snapToGrid w:val="0"/>
              <w:spacing w:line="360" w:lineRule="exact"/>
              <w:jc w:val="center"/>
              <w:rPr>
                <w:rFonts w:ascii="宋体"/>
                <w:bCs/>
                <w:color w:val="000000"/>
                <w:kern w:val="0"/>
                <w:sz w:val="23"/>
                <w:szCs w:val="23"/>
              </w:rPr>
            </w:pPr>
            <w:r>
              <w:rPr>
                <w:rFonts w:hint="eastAsia" w:ascii="宋体" w:hAnsi="宋体" w:cs="仿宋"/>
                <w:bCs/>
                <w:color w:val="000000"/>
                <w:kern w:val="0"/>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1" w:type="dxa"/>
            <w:vAlign w:val="center"/>
          </w:tcPr>
          <w:p>
            <w:pPr>
              <w:adjustRightInd w:val="0"/>
              <w:snapToGrid w:val="0"/>
              <w:spacing w:line="360" w:lineRule="exact"/>
              <w:jc w:val="center"/>
              <w:rPr>
                <w:rFonts w:ascii="宋体"/>
                <w:color w:val="000000"/>
                <w:sz w:val="23"/>
                <w:szCs w:val="23"/>
              </w:rPr>
            </w:pPr>
            <w:r>
              <w:rPr>
                <w:rFonts w:ascii="宋体" w:hAnsi="宋体"/>
                <w:color w:val="000000"/>
                <w:sz w:val="23"/>
                <w:szCs w:val="23"/>
              </w:rPr>
              <w:t>1</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技术响应程度</w:t>
            </w:r>
          </w:p>
        </w:tc>
        <w:tc>
          <w:tcPr>
            <w:tcW w:w="6430" w:type="dxa"/>
            <w:vAlign w:val="center"/>
          </w:tcPr>
          <w:p>
            <w:pPr>
              <w:adjustRightInd w:val="0"/>
              <w:snapToGrid w:val="0"/>
              <w:spacing w:line="360" w:lineRule="exact"/>
              <w:rPr>
                <w:rFonts w:ascii="宋体"/>
                <w:color w:val="000000"/>
                <w:sz w:val="23"/>
                <w:szCs w:val="23"/>
              </w:rPr>
            </w:pPr>
            <w:r>
              <w:rPr>
                <w:rFonts w:hint="eastAsia" w:ascii="宋体" w:hAnsi="宋体"/>
                <w:color w:val="000000"/>
                <w:sz w:val="23"/>
                <w:szCs w:val="23"/>
              </w:rPr>
              <w:t>考查投标人对项目内容及需求中黑色加粗条款响应程度：优于的得分6</w:t>
            </w:r>
            <w:r>
              <w:rPr>
                <w:rFonts w:ascii="宋体" w:hAnsi="宋体"/>
                <w:color w:val="000000"/>
                <w:sz w:val="23"/>
                <w:szCs w:val="23"/>
              </w:rPr>
              <w:t>-</w:t>
            </w:r>
            <w:r>
              <w:rPr>
                <w:rFonts w:hint="eastAsia" w:ascii="宋体" w:hAnsi="宋体"/>
                <w:color w:val="000000"/>
                <w:sz w:val="23"/>
                <w:szCs w:val="23"/>
              </w:rPr>
              <w:t>8；完全满足的得</w:t>
            </w:r>
            <w:r>
              <w:rPr>
                <w:rFonts w:ascii="宋体" w:hAnsi="宋体"/>
                <w:color w:val="000000"/>
                <w:sz w:val="23"/>
                <w:szCs w:val="23"/>
              </w:rPr>
              <w:t>3-</w:t>
            </w:r>
            <w:r>
              <w:rPr>
                <w:rFonts w:hint="eastAsia" w:ascii="宋体" w:hAnsi="宋体"/>
                <w:color w:val="000000"/>
                <w:sz w:val="23"/>
                <w:szCs w:val="23"/>
              </w:rPr>
              <w:t>5分；不完全满足的得</w:t>
            </w:r>
            <w:r>
              <w:rPr>
                <w:rFonts w:ascii="宋体" w:hAnsi="宋体"/>
                <w:color w:val="000000"/>
                <w:sz w:val="23"/>
                <w:szCs w:val="23"/>
              </w:rPr>
              <w:t>0-</w:t>
            </w:r>
            <w:r>
              <w:rPr>
                <w:rFonts w:hint="eastAsia" w:ascii="宋体" w:hAnsi="宋体"/>
                <w:color w:val="000000"/>
                <w:sz w:val="23"/>
                <w:szCs w:val="23"/>
              </w:rPr>
              <w:t>2分。</w:t>
            </w:r>
          </w:p>
        </w:tc>
        <w:tc>
          <w:tcPr>
            <w:tcW w:w="765" w:type="dxa"/>
            <w:vAlign w:val="center"/>
          </w:tcPr>
          <w:p>
            <w:pPr>
              <w:adjustRightInd w:val="0"/>
              <w:snapToGrid w:val="0"/>
              <w:spacing w:line="360" w:lineRule="exact"/>
              <w:jc w:val="center"/>
              <w:rPr>
                <w:rFonts w:ascii="宋体" w:cs="宋体"/>
                <w:color w:val="000000"/>
                <w:sz w:val="23"/>
                <w:szCs w:val="23"/>
              </w:rPr>
            </w:pPr>
            <w:r>
              <w:rPr>
                <w:rFonts w:hint="eastAsia" w:ascii="宋体" w:hAnsi="宋体" w:cs="宋体"/>
                <w:color w:val="000000"/>
                <w:sz w:val="23"/>
                <w:szCs w:val="23"/>
              </w:rPr>
              <w:t>8</w:t>
            </w:r>
            <w:r>
              <w:rPr>
                <w:rFonts w:hint="eastAsia" w:ascii="宋体" w:hAnsi="宋体"/>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751" w:type="dxa"/>
            <w:vAlign w:val="center"/>
          </w:tcPr>
          <w:p>
            <w:pPr>
              <w:adjustRightInd w:val="0"/>
              <w:snapToGrid w:val="0"/>
              <w:spacing w:line="360" w:lineRule="exact"/>
              <w:jc w:val="center"/>
              <w:rPr>
                <w:rFonts w:ascii="宋体" w:cs="仿宋"/>
                <w:color w:val="FF0000"/>
                <w:kern w:val="0"/>
                <w:sz w:val="23"/>
                <w:szCs w:val="23"/>
              </w:rPr>
            </w:pPr>
            <w:r>
              <w:rPr>
                <w:rFonts w:ascii="宋体" w:hAnsi="宋体" w:cs="仿宋"/>
                <w:color w:val="FF0000"/>
                <w:kern w:val="0"/>
                <w:sz w:val="23"/>
                <w:szCs w:val="23"/>
              </w:rPr>
              <w:t>2</w:t>
            </w:r>
          </w:p>
        </w:tc>
        <w:tc>
          <w:tcPr>
            <w:tcW w:w="1376" w:type="dxa"/>
            <w:vAlign w:val="center"/>
          </w:tcPr>
          <w:p>
            <w:pPr>
              <w:pStyle w:val="156"/>
              <w:snapToGrid w:val="0"/>
              <w:spacing w:line="360" w:lineRule="exact"/>
              <w:jc w:val="center"/>
              <w:rPr>
                <w:rFonts w:hAnsi="宋体" w:cs="仿宋"/>
                <w:color w:val="FF0000"/>
                <w:sz w:val="23"/>
                <w:szCs w:val="23"/>
              </w:rPr>
            </w:pPr>
            <w:r>
              <w:rPr>
                <w:rFonts w:hint="eastAsia" w:hAnsi="宋体" w:cs="仿宋"/>
                <w:color w:val="FF0000"/>
                <w:sz w:val="23"/>
                <w:szCs w:val="23"/>
              </w:rPr>
              <w:t>项目配备的技术</w:t>
            </w:r>
          </w:p>
          <w:p>
            <w:pPr>
              <w:pStyle w:val="156"/>
              <w:snapToGrid w:val="0"/>
              <w:spacing w:line="360" w:lineRule="exact"/>
              <w:jc w:val="center"/>
              <w:rPr>
                <w:rFonts w:hAnsi="宋体" w:cs="仿宋"/>
                <w:color w:val="FF0000"/>
                <w:sz w:val="23"/>
                <w:szCs w:val="23"/>
              </w:rPr>
            </w:pPr>
            <w:r>
              <w:rPr>
                <w:rFonts w:hint="eastAsia" w:hAnsi="宋体" w:cs="仿宋"/>
                <w:color w:val="FF0000"/>
                <w:sz w:val="23"/>
                <w:szCs w:val="23"/>
              </w:rPr>
              <w:t>人员</w:t>
            </w:r>
          </w:p>
        </w:tc>
        <w:tc>
          <w:tcPr>
            <w:tcW w:w="6430" w:type="dxa"/>
            <w:vAlign w:val="center"/>
          </w:tcPr>
          <w:p>
            <w:pPr>
              <w:pStyle w:val="14"/>
              <w:spacing w:line="276" w:lineRule="auto"/>
              <w:rPr>
                <w:rFonts w:ascii="宋体" w:hAnsi="宋体" w:eastAsia="宋体" w:cs="Times New Roman"/>
                <w:color w:val="FF0000"/>
                <w:sz w:val="23"/>
                <w:szCs w:val="23"/>
              </w:rPr>
            </w:pPr>
            <w:r>
              <w:rPr>
                <w:rFonts w:hint="eastAsia" w:ascii="宋体" w:hAnsi="宋体" w:eastAsia="宋体" w:cs="Times New Roman"/>
                <w:color w:val="FF0000"/>
                <w:sz w:val="23"/>
                <w:szCs w:val="23"/>
              </w:rPr>
              <w:t>对照第2.2.11、拟投入人员基本要求：</w:t>
            </w:r>
          </w:p>
          <w:p>
            <w:pPr>
              <w:pStyle w:val="15"/>
              <w:rPr>
                <w:rFonts w:ascii="宋体" w:hAnsi="宋体"/>
                <w:color w:val="FF0000"/>
                <w:sz w:val="23"/>
                <w:szCs w:val="23"/>
              </w:rPr>
            </w:pPr>
            <w:r>
              <w:rPr>
                <w:rFonts w:hint="eastAsia" w:ascii="宋体" w:hAnsi="宋体"/>
                <w:color w:val="FF0000"/>
                <w:sz w:val="23"/>
                <w:szCs w:val="23"/>
              </w:rPr>
              <w:t>1.项目经理，1人，具有项目经理资格证。</w:t>
            </w:r>
          </w:p>
          <w:p>
            <w:pPr>
              <w:pStyle w:val="15"/>
              <w:rPr>
                <w:rFonts w:ascii="宋体" w:hAnsi="宋体"/>
                <w:color w:val="FF0000"/>
                <w:sz w:val="23"/>
                <w:szCs w:val="23"/>
              </w:rPr>
            </w:pPr>
            <w:r>
              <w:rPr>
                <w:rFonts w:hint="eastAsia" w:ascii="宋体" w:hAnsi="宋体"/>
                <w:color w:val="FF0000"/>
                <w:sz w:val="23"/>
                <w:szCs w:val="23"/>
              </w:rPr>
              <w:t>2.项目技术负责人，1人；电力、电气类工程师，持有特种设备（有高压设备维修）作业人员资格证书。</w:t>
            </w:r>
          </w:p>
          <w:p>
            <w:pPr>
              <w:pStyle w:val="15"/>
              <w:rPr>
                <w:rFonts w:ascii="宋体" w:hAnsi="宋体"/>
                <w:color w:val="FF0000"/>
                <w:sz w:val="23"/>
                <w:szCs w:val="23"/>
              </w:rPr>
            </w:pPr>
            <w:r>
              <w:rPr>
                <w:rFonts w:hint="eastAsia" w:ascii="宋体" w:hAnsi="宋体"/>
                <w:color w:val="FF0000"/>
                <w:sz w:val="23"/>
                <w:szCs w:val="23"/>
              </w:rPr>
              <w:t>3.监护人员，1人，</w:t>
            </w:r>
            <w:r>
              <w:rPr>
                <w:rFonts w:hint="eastAsia" w:ascii="宋体" w:hAnsi="宋体"/>
                <w:color w:val="FF0000"/>
                <w:sz w:val="23"/>
                <w:szCs w:val="23"/>
              </w:rPr>
              <w:tab/>
            </w:r>
            <w:r>
              <w:rPr>
                <w:rFonts w:hint="eastAsia" w:ascii="宋体" w:hAnsi="宋体"/>
                <w:color w:val="FF0000"/>
                <w:sz w:val="23"/>
                <w:szCs w:val="23"/>
              </w:rPr>
              <w:t>电力、电气类工程师，持有特种类电工网作业许可证。</w:t>
            </w:r>
          </w:p>
          <w:p>
            <w:pPr>
              <w:pStyle w:val="15"/>
              <w:rPr>
                <w:rFonts w:ascii="宋体" w:hAnsi="宋体"/>
                <w:color w:val="FF0000"/>
                <w:sz w:val="23"/>
                <w:szCs w:val="23"/>
              </w:rPr>
            </w:pPr>
            <w:r>
              <w:rPr>
                <w:rFonts w:hint="eastAsia" w:ascii="宋体" w:hAnsi="宋体"/>
                <w:color w:val="FF0000"/>
                <w:sz w:val="23"/>
                <w:szCs w:val="23"/>
              </w:rPr>
              <w:t>4.电工， 2人，取得高压类电工进网作业许可证。</w:t>
            </w:r>
          </w:p>
          <w:p>
            <w:pPr>
              <w:pStyle w:val="14"/>
              <w:spacing w:line="276" w:lineRule="auto"/>
              <w:rPr>
                <w:rFonts w:ascii="宋体" w:hAnsi="宋体" w:eastAsia="宋体" w:cs="Times New Roman"/>
                <w:color w:val="FF0000"/>
                <w:sz w:val="23"/>
                <w:szCs w:val="23"/>
              </w:rPr>
            </w:pPr>
            <w:r>
              <w:rPr>
                <w:rFonts w:hint="eastAsia" w:ascii="宋体" w:hAnsi="宋体" w:eastAsia="宋体" w:cs="Times New Roman"/>
                <w:color w:val="FF0000"/>
                <w:sz w:val="23"/>
                <w:szCs w:val="23"/>
              </w:rPr>
              <w:t>满足基本要求的以上每项得3分，最高得12分，不满足的不得分；</w:t>
            </w:r>
          </w:p>
          <w:p>
            <w:pPr>
              <w:pStyle w:val="14"/>
              <w:spacing w:line="276" w:lineRule="auto"/>
              <w:rPr>
                <w:rFonts w:ascii="宋体" w:cs="仿宋"/>
                <w:color w:val="FF0000"/>
                <w:sz w:val="23"/>
                <w:szCs w:val="23"/>
              </w:rPr>
            </w:pPr>
            <w:r>
              <w:rPr>
                <w:rFonts w:hint="eastAsia" w:ascii="宋体" w:hAnsi="宋体"/>
                <w:color w:val="FF0000"/>
                <w:sz w:val="23"/>
                <w:szCs w:val="23"/>
              </w:rPr>
              <w:t>优于基本要求的，配备项目技术负责人、监护人员具有电力、电气类高级工程师职称的，每一项加1分，电工在满足配备2人的基本要求后，每多配备1人，加1分，最高加3分。以上技术人员必须提供相应证明材料及社保证明。</w:t>
            </w:r>
          </w:p>
        </w:tc>
        <w:tc>
          <w:tcPr>
            <w:tcW w:w="765" w:type="dxa"/>
            <w:vAlign w:val="center"/>
          </w:tcPr>
          <w:p>
            <w:pPr>
              <w:adjustRightInd w:val="0"/>
              <w:snapToGrid w:val="0"/>
              <w:spacing w:line="360" w:lineRule="exact"/>
              <w:jc w:val="center"/>
              <w:rPr>
                <w:rFonts w:ascii="宋体" w:cs="仿宋"/>
                <w:color w:val="FF0000"/>
                <w:sz w:val="23"/>
                <w:szCs w:val="23"/>
              </w:rPr>
            </w:pPr>
            <w:r>
              <w:rPr>
                <w:rFonts w:ascii="宋体" w:hAnsi="宋体" w:cs="仿宋"/>
                <w:color w:val="FF0000"/>
                <w:sz w:val="23"/>
                <w:szCs w:val="23"/>
              </w:rPr>
              <w:t>15</w:t>
            </w:r>
            <w:r>
              <w:rPr>
                <w:rFonts w:hint="eastAsia" w:ascii="宋体" w:hAnsi="宋体" w:cs="仿宋"/>
                <w:color w:val="FF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51" w:type="dxa"/>
            <w:vAlign w:val="center"/>
          </w:tcPr>
          <w:p>
            <w:pPr>
              <w:adjustRightInd w:val="0"/>
              <w:snapToGrid w:val="0"/>
              <w:spacing w:line="380" w:lineRule="exact"/>
              <w:jc w:val="center"/>
              <w:rPr>
                <w:rFonts w:ascii="宋体" w:cs="宋体"/>
                <w:color w:val="000000"/>
                <w:sz w:val="23"/>
                <w:szCs w:val="23"/>
              </w:rPr>
            </w:pPr>
            <w:r>
              <w:rPr>
                <w:rFonts w:ascii="宋体" w:hAnsi="宋体" w:cs="宋体"/>
                <w:color w:val="000000"/>
                <w:sz w:val="23"/>
                <w:szCs w:val="23"/>
              </w:rPr>
              <w:t>3</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企业管理规章制度</w:t>
            </w:r>
          </w:p>
        </w:tc>
        <w:tc>
          <w:tcPr>
            <w:tcW w:w="6430" w:type="dxa"/>
            <w:vAlign w:val="center"/>
          </w:tcPr>
          <w:p>
            <w:pPr>
              <w:adjustRightInd w:val="0"/>
              <w:snapToGrid w:val="0"/>
              <w:spacing w:line="360" w:lineRule="exact"/>
              <w:rPr>
                <w:rFonts w:ascii="宋体" w:cs="仿宋"/>
                <w:color w:val="000000"/>
                <w:sz w:val="23"/>
                <w:szCs w:val="23"/>
              </w:rPr>
            </w:pPr>
            <w:r>
              <w:rPr>
                <w:rFonts w:ascii="宋体" w:hAnsi="宋体" w:cs="仿宋"/>
                <w:color w:val="000000"/>
                <w:sz w:val="23"/>
                <w:szCs w:val="23"/>
              </w:rPr>
              <w:t xml:space="preserve"> </w:t>
            </w:r>
            <w:r>
              <w:rPr>
                <w:rFonts w:hint="eastAsia" w:ascii="宋体" w:hAnsi="宋体" w:cs="仿宋"/>
                <w:color w:val="000000"/>
                <w:sz w:val="23"/>
                <w:szCs w:val="23"/>
              </w:rPr>
              <w:t>优秀</w:t>
            </w:r>
            <w:r>
              <w:rPr>
                <w:rFonts w:ascii="宋体" w:hAnsi="宋体" w:cs="仿宋"/>
                <w:color w:val="000000"/>
                <w:sz w:val="23"/>
                <w:szCs w:val="23"/>
              </w:rPr>
              <w:t>4-5</w:t>
            </w:r>
            <w:r>
              <w:rPr>
                <w:rFonts w:hint="eastAsia" w:ascii="宋体" w:hAnsi="宋体" w:cs="仿宋"/>
                <w:color w:val="000000"/>
                <w:sz w:val="23"/>
                <w:szCs w:val="23"/>
              </w:rPr>
              <w:t>分</w:t>
            </w:r>
            <w:r>
              <w:rPr>
                <w:rFonts w:ascii="宋体" w:hAnsi="宋体" w:cs="仿宋"/>
                <w:color w:val="000000"/>
                <w:sz w:val="23"/>
                <w:szCs w:val="23"/>
              </w:rPr>
              <w:t xml:space="preserve">   </w:t>
            </w:r>
            <w:r>
              <w:rPr>
                <w:rFonts w:hint="eastAsia" w:ascii="宋体" w:hAnsi="宋体" w:cs="仿宋"/>
                <w:color w:val="000000"/>
                <w:sz w:val="23"/>
                <w:szCs w:val="23"/>
              </w:rPr>
              <w:t>良好</w:t>
            </w:r>
            <w:r>
              <w:rPr>
                <w:rFonts w:ascii="宋体" w:hAnsi="宋体" w:cs="仿宋"/>
                <w:color w:val="000000"/>
                <w:sz w:val="23"/>
                <w:szCs w:val="23"/>
              </w:rPr>
              <w:t>2-3</w:t>
            </w:r>
            <w:r>
              <w:rPr>
                <w:rFonts w:hint="eastAsia" w:ascii="宋体" w:hAnsi="宋体" w:cs="仿宋"/>
                <w:color w:val="000000"/>
                <w:sz w:val="23"/>
                <w:szCs w:val="23"/>
              </w:rPr>
              <w:t>分，</w:t>
            </w:r>
            <w:r>
              <w:rPr>
                <w:rFonts w:ascii="宋体" w:hAnsi="宋体" w:cs="仿宋"/>
                <w:color w:val="000000"/>
                <w:sz w:val="23"/>
                <w:szCs w:val="23"/>
              </w:rPr>
              <w:t xml:space="preserve">  </w:t>
            </w:r>
            <w:r>
              <w:rPr>
                <w:rFonts w:hint="eastAsia" w:ascii="宋体" w:hAnsi="宋体" w:cs="仿宋"/>
                <w:color w:val="000000"/>
                <w:sz w:val="23"/>
                <w:szCs w:val="23"/>
              </w:rPr>
              <w:t>一般</w:t>
            </w:r>
            <w:r>
              <w:rPr>
                <w:rFonts w:ascii="宋体" w:hAnsi="宋体" w:cs="仿宋"/>
                <w:color w:val="000000"/>
                <w:sz w:val="23"/>
                <w:szCs w:val="23"/>
              </w:rPr>
              <w:t>0-1</w:t>
            </w:r>
            <w:r>
              <w:rPr>
                <w:rFonts w:hint="eastAsia" w:ascii="宋体" w:hAnsi="宋体" w:cs="仿宋"/>
                <w:color w:val="000000"/>
                <w:sz w:val="23"/>
                <w:szCs w:val="23"/>
              </w:rPr>
              <w:t>分。</w:t>
            </w:r>
          </w:p>
        </w:tc>
        <w:tc>
          <w:tcPr>
            <w:tcW w:w="765" w:type="dxa"/>
            <w:vAlign w:val="center"/>
          </w:tcPr>
          <w:p>
            <w:pPr>
              <w:adjustRightInd w:val="0"/>
              <w:snapToGrid w:val="0"/>
              <w:spacing w:line="380" w:lineRule="exact"/>
              <w:rPr>
                <w:rFonts w:ascii="宋体" w:cs="仿宋"/>
                <w:color w:val="000000"/>
                <w:sz w:val="23"/>
                <w:szCs w:val="23"/>
              </w:rPr>
            </w:pPr>
            <w:r>
              <w:rPr>
                <w:rFonts w:ascii="宋体" w:hAnsi="宋体" w:cs="仿宋"/>
                <w:color w:val="000000"/>
                <w:sz w:val="23"/>
                <w:szCs w:val="23"/>
              </w:rPr>
              <w:t>5</w:t>
            </w:r>
            <w:r>
              <w:rPr>
                <w:rFonts w:hint="eastAsia" w:ascii="宋体" w:hAnsi="宋体" w:cs="仿宋"/>
                <w:color w:val="000000"/>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cs="仿宋"/>
                <w:color w:val="000000"/>
                <w:kern w:val="0"/>
                <w:sz w:val="23"/>
                <w:szCs w:val="23"/>
              </w:rPr>
            </w:pPr>
            <w:r>
              <w:rPr>
                <w:rFonts w:ascii="宋体" w:hAnsi="宋体" w:cs="仿宋"/>
                <w:color w:val="000000"/>
                <w:kern w:val="0"/>
                <w:sz w:val="23"/>
                <w:szCs w:val="23"/>
              </w:rPr>
              <w:t>4</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项目实施方案</w:t>
            </w:r>
          </w:p>
        </w:tc>
        <w:tc>
          <w:tcPr>
            <w:tcW w:w="6430"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对比投标人本项目的具体实施方案，运作流程</w:t>
            </w:r>
          </w:p>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优秀9</w:t>
            </w:r>
            <w:r>
              <w:rPr>
                <w:rFonts w:ascii="宋体" w:hAnsi="宋体" w:cs="仿宋"/>
                <w:color w:val="000000"/>
                <w:sz w:val="23"/>
                <w:szCs w:val="23"/>
              </w:rPr>
              <w:t>-</w:t>
            </w:r>
            <w:r>
              <w:rPr>
                <w:rFonts w:hint="eastAsia" w:ascii="宋体" w:hAnsi="宋体" w:cs="仿宋"/>
                <w:color w:val="000000"/>
                <w:sz w:val="23"/>
                <w:szCs w:val="23"/>
              </w:rPr>
              <w:t>12分、良好5</w:t>
            </w:r>
            <w:r>
              <w:rPr>
                <w:rFonts w:ascii="宋体" w:hAnsi="宋体" w:cs="仿宋"/>
                <w:color w:val="000000"/>
                <w:sz w:val="23"/>
                <w:szCs w:val="23"/>
              </w:rPr>
              <w:t>-</w:t>
            </w:r>
            <w:r>
              <w:rPr>
                <w:rFonts w:hint="eastAsia" w:ascii="宋体" w:hAnsi="宋体" w:cs="仿宋"/>
                <w:color w:val="000000"/>
                <w:sz w:val="23"/>
                <w:szCs w:val="23"/>
              </w:rPr>
              <w:t>8分、一般</w:t>
            </w:r>
            <w:r>
              <w:rPr>
                <w:rFonts w:ascii="宋体" w:hAnsi="宋体" w:cs="仿宋"/>
                <w:color w:val="000000"/>
                <w:sz w:val="23"/>
                <w:szCs w:val="23"/>
              </w:rPr>
              <w:t>0-</w:t>
            </w:r>
            <w:r>
              <w:rPr>
                <w:rFonts w:hint="eastAsia" w:ascii="宋体" w:hAnsi="宋体" w:cs="仿宋"/>
                <w:color w:val="000000"/>
                <w:sz w:val="23"/>
                <w:szCs w:val="23"/>
              </w:rPr>
              <w:t>4分。</w:t>
            </w:r>
          </w:p>
        </w:tc>
        <w:tc>
          <w:tcPr>
            <w:tcW w:w="765" w:type="dxa"/>
            <w:vAlign w:val="center"/>
          </w:tcPr>
          <w:p>
            <w:pPr>
              <w:adjustRightInd w:val="0"/>
              <w:snapToGrid w:val="0"/>
              <w:spacing w:line="360" w:lineRule="exact"/>
              <w:jc w:val="center"/>
              <w:rPr>
                <w:rFonts w:ascii="宋体"/>
                <w:color w:val="000000"/>
                <w:kern w:val="0"/>
                <w:sz w:val="23"/>
                <w:szCs w:val="23"/>
              </w:rPr>
            </w:pPr>
            <w:r>
              <w:rPr>
                <w:rFonts w:hint="eastAsia" w:ascii="宋体" w:hAnsi="宋体" w:cs="仿宋"/>
                <w:color w:val="000000"/>
                <w:sz w:val="23"/>
                <w:szCs w:val="23"/>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cs="仿宋"/>
                <w:color w:val="000000"/>
                <w:kern w:val="0"/>
                <w:sz w:val="23"/>
                <w:szCs w:val="23"/>
              </w:rPr>
            </w:pPr>
            <w:r>
              <w:rPr>
                <w:rFonts w:ascii="宋体" w:hAnsi="宋体" w:cs="仿宋"/>
                <w:color w:val="000000"/>
                <w:kern w:val="0"/>
                <w:sz w:val="23"/>
                <w:szCs w:val="23"/>
              </w:rPr>
              <w:t>5</w:t>
            </w:r>
          </w:p>
        </w:tc>
        <w:tc>
          <w:tcPr>
            <w:tcW w:w="1376" w:type="dxa"/>
            <w:vAlign w:val="center"/>
          </w:tcPr>
          <w:p>
            <w:pPr>
              <w:adjustRightInd w:val="0"/>
              <w:snapToGrid w:val="0"/>
              <w:spacing w:line="360" w:lineRule="exact"/>
              <w:rPr>
                <w:rFonts w:ascii="宋体" w:cs="仿宋"/>
                <w:color w:val="000000"/>
                <w:sz w:val="23"/>
                <w:szCs w:val="23"/>
              </w:rPr>
            </w:pPr>
            <w:r>
              <w:rPr>
                <w:rFonts w:hint="eastAsia" w:ascii="宋体" w:hAnsi="宋体" w:cs="仿宋"/>
                <w:color w:val="000000"/>
                <w:sz w:val="23"/>
                <w:szCs w:val="23"/>
              </w:rPr>
              <w:t>本地化服务</w:t>
            </w:r>
          </w:p>
        </w:tc>
        <w:tc>
          <w:tcPr>
            <w:tcW w:w="6430" w:type="dxa"/>
            <w:vAlign w:val="center"/>
          </w:tcPr>
          <w:p>
            <w:pPr>
              <w:rPr>
                <w:rFonts w:ascii="宋体" w:cs="宋体"/>
                <w:color w:val="000000"/>
                <w:sz w:val="22"/>
                <w:szCs w:val="22"/>
              </w:rPr>
            </w:pPr>
            <w:r>
              <w:rPr>
                <w:rFonts w:hint="eastAsia"/>
                <w:color w:val="000000"/>
                <w:sz w:val="22"/>
                <w:szCs w:val="22"/>
              </w:rPr>
              <w:t>投标人总部或有分支服务点在佛山市三水区内。</w:t>
            </w:r>
          </w:p>
        </w:tc>
        <w:tc>
          <w:tcPr>
            <w:tcW w:w="765" w:type="dxa"/>
            <w:vAlign w:val="center"/>
          </w:tcPr>
          <w:p>
            <w:pPr>
              <w:adjustRightInd w:val="0"/>
              <w:snapToGrid w:val="0"/>
              <w:spacing w:line="360" w:lineRule="exact"/>
              <w:jc w:val="center"/>
              <w:rPr>
                <w:rFonts w:ascii="宋体" w:cs="仿宋"/>
                <w:color w:val="000000"/>
                <w:sz w:val="23"/>
                <w:szCs w:val="23"/>
              </w:rPr>
            </w:pPr>
            <w:r>
              <w:rPr>
                <w:rFonts w:hint="eastAsia" w:ascii="宋体" w:hAnsi="宋体" w:cs="仿宋"/>
                <w:color w:val="000000"/>
                <w:sz w:val="23"/>
                <w:szCs w:val="23"/>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557" w:type="dxa"/>
            <w:gridSpan w:val="3"/>
            <w:vAlign w:val="center"/>
          </w:tcPr>
          <w:p>
            <w:pPr>
              <w:adjustRightInd w:val="0"/>
              <w:snapToGrid w:val="0"/>
              <w:spacing w:line="360" w:lineRule="exact"/>
              <w:jc w:val="center"/>
              <w:rPr>
                <w:rFonts w:ascii="宋体"/>
                <w:color w:val="000000"/>
                <w:sz w:val="23"/>
                <w:szCs w:val="23"/>
              </w:rPr>
            </w:pPr>
            <w:r>
              <w:rPr>
                <w:rFonts w:hint="eastAsia" w:ascii="宋体" w:hAnsi="宋体" w:cs="仿宋"/>
                <w:color w:val="000000"/>
                <w:sz w:val="23"/>
                <w:szCs w:val="23"/>
              </w:rPr>
              <w:t>合计：</w:t>
            </w:r>
          </w:p>
        </w:tc>
        <w:tc>
          <w:tcPr>
            <w:tcW w:w="765" w:type="dxa"/>
            <w:vAlign w:val="center"/>
          </w:tcPr>
          <w:p>
            <w:pPr>
              <w:adjustRightInd w:val="0"/>
              <w:snapToGrid w:val="0"/>
              <w:spacing w:line="360" w:lineRule="exact"/>
              <w:rPr>
                <w:rFonts w:ascii="宋体"/>
                <w:color w:val="000000"/>
                <w:sz w:val="23"/>
                <w:szCs w:val="23"/>
              </w:rPr>
            </w:pPr>
            <w:r>
              <w:rPr>
                <w:rFonts w:ascii="宋体" w:hAnsi="宋体" w:cs="宋体"/>
                <w:color w:val="000000"/>
                <w:sz w:val="23"/>
                <w:szCs w:val="23"/>
                <w:lang w:val="zh-CN"/>
              </w:rPr>
              <w:fldChar w:fldCharType="begin"/>
            </w:r>
            <w:r>
              <w:rPr>
                <w:rFonts w:ascii="宋体" w:hAnsi="宋体" w:cs="宋体"/>
                <w:color w:val="000000"/>
                <w:sz w:val="23"/>
                <w:szCs w:val="23"/>
                <w:lang w:val="zh-CN"/>
              </w:rPr>
              <w:instrText xml:space="preserve">=SUM(ABOVE)</w:instrText>
            </w:r>
            <w:r>
              <w:rPr>
                <w:rFonts w:ascii="宋体" w:hAnsi="宋体" w:cs="宋体"/>
                <w:color w:val="000000"/>
                <w:sz w:val="23"/>
                <w:szCs w:val="23"/>
                <w:lang w:val="zh-CN"/>
              </w:rPr>
              <w:fldChar w:fldCharType="separate"/>
            </w:r>
            <w:r>
              <w:rPr>
                <w:rFonts w:ascii="宋体" w:hAnsi="宋体" w:cs="宋体"/>
                <w:color w:val="000000"/>
                <w:sz w:val="23"/>
                <w:szCs w:val="23"/>
                <w:lang w:val="zh-CN"/>
              </w:rPr>
              <w:t>5</w:t>
            </w:r>
            <w:r>
              <w:rPr>
                <w:rFonts w:ascii="宋体" w:cs="宋体"/>
                <w:color w:val="000000"/>
                <w:sz w:val="23"/>
                <w:szCs w:val="23"/>
                <w:lang w:val="zh-CN"/>
              </w:rPr>
              <w:t>0</w:t>
            </w:r>
            <w:r>
              <w:rPr>
                <w:rFonts w:ascii="宋体" w:hAnsi="宋体" w:cs="宋体"/>
                <w:color w:val="000000"/>
                <w:sz w:val="23"/>
                <w:szCs w:val="23"/>
                <w:lang w:val="zh-CN"/>
              </w:rPr>
              <w:fldChar w:fldCharType="end"/>
            </w:r>
            <w:r>
              <w:rPr>
                <w:rFonts w:hint="eastAsia" w:ascii="宋体" w:hAnsi="宋体" w:cs="宋体"/>
                <w:color w:val="000000"/>
                <w:sz w:val="23"/>
                <w:szCs w:val="23"/>
                <w:lang w:val="zh-CN"/>
              </w:rPr>
              <w:t>分</w:t>
            </w:r>
          </w:p>
        </w:tc>
      </w:tr>
    </w:tbl>
    <w:p>
      <w:pPr>
        <w:jc w:val="center"/>
        <w:rPr>
          <w:rFonts w:ascii="仿宋" w:hAnsi="仿宋" w:eastAsia="仿宋"/>
          <w:color w:val="000000"/>
          <w:sz w:val="23"/>
          <w:szCs w:val="23"/>
        </w:rPr>
      </w:pPr>
    </w:p>
    <w:p>
      <w:pPr>
        <w:rPr>
          <w:color w:val="000000"/>
          <w:sz w:val="23"/>
          <w:szCs w:val="23"/>
        </w:rPr>
      </w:pPr>
    </w:p>
    <w:p>
      <w:pPr>
        <w:rPr>
          <w:color w:val="000000"/>
          <w:sz w:val="23"/>
          <w:szCs w:val="23"/>
        </w:rPr>
      </w:pPr>
    </w:p>
    <w:p>
      <w:pPr>
        <w:rPr>
          <w:rFonts w:ascii="仿宋_GB2312" w:hAnsi="宋体" w:eastAsia="仿宋_GB2312"/>
          <w:color w:val="000000"/>
          <w:sz w:val="23"/>
          <w:szCs w:val="23"/>
        </w:rPr>
      </w:pPr>
    </w:p>
    <w:p>
      <w:pPr>
        <w:jc w:val="center"/>
        <w:rPr>
          <w:rFonts w:ascii="仿宋_GB2312" w:hAnsi="宋体" w:eastAsia="仿宋_GB2312"/>
          <w:color w:val="000000"/>
          <w:sz w:val="23"/>
          <w:szCs w:val="23"/>
        </w:rPr>
      </w:pPr>
      <w:r>
        <w:rPr>
          <w:rFonts w:ascii="仿宋_GB2312" w:hAnsi="宋体" w:eastAsia="仿宋_GB2312"/>
          <w:color w:val="000000"/>
          <w:sz w:val="23"/>
          <w:szCs w:val="23"/>
        </w:rPr>
        <w:br w:type="page"/>
      </w:r>
    </w:p>
    <w:p>
      <w:pPr>
        <w:pStyle w:val="2"/>
        <w:spacing w:before="0" w:after="0" w:line="240" w:lineRule="auto"/>
        <w:jc w:val="center"/>
        <w:rPr>
          <w:rFonts w:ascii="宋体" w:hAnsi="宋体"/>
          <w:b w:val="0"/>
          <w:bCs w:val="0"/>
          <w:color w:val="000000"/>
          <w:sz w:val="23"/>
          <w:szCs w:val="23"/>
        </w:rPr>
      </w:pPr>
      <w:bookmarkStart w:id="74" w:name="_Toc17408"/>
      <w:r>
        <w:rPr>
          <w:rFonts w:hint="eastAsia" w:ascii="宋体" w:hAnsi="宋体"/>
          <w:b w:val="0"/>
          <w:bCs w:val="0"/>
          <w:color w:val="000000"/>
          <w:sz w:val="23"/>
          <w:szCs w:val="23"/>
        </w:rPr>
        <w:t>第五部分  合同格式及主要条款</w:t>
      </w:r>
      <w:bookmarkEnd w:id="74"/>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3"/>
        </w:numPr>
        <w:rPr>
          <w:rFonts w:ascii="宋体" w:hAnsi="宋体"/>
          <w:color w:val="000000"/>
          <w:sz w:val="23"/>
          <w:szCs w:val="23"/>
        </w:rPr>
      </w:pPr>
      <w:r>
        <w:rPr>
          <w:rFonts w:hint="eastAsia" w:ascii="宋体" w:hAnsi="宋体"/>
          <w:bCs/>
          <w:color w:val="000000"/>
          <w:sz w:val="23"/>
          <w:szCs w:val="23"/>
        </w:rPr>
        <w:t>组成合同的文件</w:t>
      </w:r>
    </w:p>
    <w:p>
      <w:pPr>
        <w:numPr>
          <w:ilvl w:val="0"/>
          <w:numId w:val="14"/>
        </w:numPr>
        <w:rPr>
          <w:rFonts w:ascii="宋体" w:hAnsi="宋体"/>
          <w:color w:val="000000"/>
          <w:sz w:val="23"/>
          <w:szCs w:val="23"/>
        </w:rPr>
      </w:pPr>
      <w:r>
        <w:rPr>
          <w:rFonts w:hint="eastAsia" w:ascii="宋体" w:hAnsi="宋体"/>
          <w:color w:val="000000"/>
          <w:sz w:val="23"/>
          <w:szCs w:val="23"/>
        </w:rPr>
        <w:t>本合同协议书。</w:t>
      </w:r>
    </w:p>
    <w:p>
      <w:pPr>
        <w:numPr>
          <w:ilvl w:val="0"/>
          <w:numId w:val="14"/>
        </w:numPr>
        <w:rPr>
          <w:rFonts w:ascii="宋体" w:hAnsi="宋体"/>
          <w:color w:val="000000"/>
          <w:sz w:val="23"/>
          <w:szCs w:val="23"/>
        </w:rPr>
      </w:pPr>
      <w:r>
        <w:rPr>
          <w:rFonts w:hint="eastAsia" w:ascii="宋体" w:hAnsi="宋体"/>
          <w:color w:val="000000"/>
          <w:sz w:val="23"/>
          <w:szCs w:val="23"/>
        </w:rPr>
        <w:t>中标通知书。</w:t>
      </w:r>
    </w:p>
    <w:p>
      <w:pPr>
        <w:numPr>
          <w:ilvl w:val="0"/>
          <w:numId w:val="14"/>
        </w:numPr>
        <w:rPr>
          <w:rFonts w:ascii="宋体" w:hAnsi="宋体"/>
          <w:color w:val="000000"/>
          <w:sz w:val="23"/>
          <w:szCs w:val="23"/>
        </w:rPr>
      </w:pPr>
      <w:r>
        <w:rPr>
          <w:rFonts w:hint="eastAsia" w:ascii="宋体" w:hAnsi="宋体"/>
          <w:color w:val="000000"/>
          <w:sz w:val="23"/>
          <w:szCs w:val="23"/>
        </w:rPr>
        <w:t>投标函及其附件。</w:t>
      </w:r>
    </w:p>
    <w:p>
      <w:pPr>
        <w:numPr>
          <w:ilvl w:val="0"/>
          <w:numId w:val="14"/>
        </w:numPr>
        <w:rPr>
          <w:rFonts w:ascii="宋体" w:hAnsi="宋体"/>
          <w:color w:val="000000"/>
          <w:sz w:val="23"/>
          <w:szCs w:val="23"/>
        </w:rPr>
      </w:pPr>
      <w:r>
        <w:rPr>
          <w:rFonts w:hint="eastAsia" w:ascii="宋体" w:hAnsi="宋体"/>
          <w:color w:val="000000"/>
          <w:sz w:val="23"/>
          <w:szCs w:val="23"/>
        </w:rPr>
        <w:t>招标文件。</w:t>
      </w:r>
    </w:p>
    <w:p>
      <w:pPr>
        <w:numPr>
          <w:ilvl w:val="0"/>
          <w:numId w:val="14"/>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3"/>
        </w:numPr>
        <w:rPr>
          <w:rFonts w:ascii="宋体" w:hAnsi="宋体"/>
          <w:color w:val="000000"/>
          <w:sz w:val="23"/>
          <w:szCs w:val="23"/>
        </w:rPr>
      </w:pPr>
      <w:r>
        <w:rPr>
          <w:rFonts w:hint="eastAsia" w:ascii="宋体" w:hAnsi="宋体"/>
          <w:color w:val="000000"/>
          <w:sz w:val="23"/>
          <w:szCs w:val="23"/>
        </w:rPr>
        <w:t>合同标的</w:t>
      </w:r>
    </w:p>
    <w:p>
      <w:pPr>
        <w:numPr>
          <w:ilvl w:val="0"/>
          <w:numId w:val="15"/>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5"/>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5"/>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5"/>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5"/>
        </w:numPr>
        <w:rPr>
          <w:rFonts w:ascii="宋体" w:hAnsi="宋体"/>
          <w:color w:val="000000"/>
          <w:sz w:val="23"/>
          <w:szCs w:val="23"/>
        </w:rPr>
      </w:pPr>
      <w:r>
        <w:rPr>
          <w:rFonts w:hint="eastAsia" w:ascii="宋体" w:hAnsi="宋体"/>
          <w:color w:val="000000"/>
          <w:sz w:val="23"/>
          <w:szCs w:val="23"/>
        </w:rPr>
        <w:t>其它约定：。</w:t>
      </w:r>
    </w:p>
    <w:p>
      <w:pPr>
        <w:numPr>
          <w:ilvl w:val="0"/>
          <w:numId w:val="13"/>
        </w:numPr>
        <w:rPr>
          <w:rFonts w:ascii="宋体" w:hAnsi="宋体"/>
          <w:color w:val="000000"/>
          <w:sz w:val="23"/>
          <w:szCs w:val="23"/>
        </w:rPr>
      </w:pPr>
      <w:r>
        <w:rPr>
          <w:rFonts w:hint="eastAsia" w:ascii="宋体" w:hAnsi="宋体"/>
          <w:color w:val="000000"/>
          <w:sz w:val="23"/>
          <w:szCs w:val="23"/>
        </w:rPr>
        <w:t>结算方式</w:t>
      </w:r>
    </w:p>
    <w:p>
      <w:pPr>
        <w:numPr>
          <w:ilvl w:val="0"/>
          <w:numId w:val="16"/>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6"/>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6"/>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3"/>
        </w:numPr>
        <w:rPr>
          <w:rFonts w:ascii="宋体" w:hAnsi="宋体"/>
          <w:color w:val="000000"/>
          <w:sz w:val="23"/>
          <w:szCs w:val="23"/>
        </w:rPr>
      </w:pPr>
      <w:r>
        <w:rPr>
          <w:rFonts w:hint="eastAsia" w:ascii="宋体" w:hAnsi="宋体"/>
          <w:color w:val="000000"/>
          <w:sz w:val="23"/>
          <w:szCs w:val="23"/>
        </w:rPr>
        <w:t>付款方式</w:t>
      </w:r>
    </w:p>
    <w:p>
      <w:pPr>
        <w:numPr>
          <w:ilvl w:val="0"/>
          <w:numId w:val="17"/>
        </w:numPr>
        <w:rPr>
          <w:rFonts w:ascii="宋体" w:hAnsi="宋体"/>
          <w:color w:val="000000"/>
          <w:sz w:val="23"/>
          <w:szCs w:val="23"/>
        </w:rPr>
      </w:pPr>
      <w:r>
        <w:rPr>
          <w:rFonts w:hint="eastAsia" w:ascii="宋体" w:hAnsi="宋体"/>
          <w:color w:val="000000"/>
          <w:sz w:val="23"/>
          <w:szCs w:val="23"/>
        </w:rPr>
        <w:t>一次性付款。</w:t>
      </w:r>
    </w:p>
    <w:p>
      <w:pPr>
        <w:numPr>
          <w:ilvl w:val="0"/>
          <w:numId w:val="17"/>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3"/>
        </w:numPr>
        <w:rPr>
          <w:rFonts w:ascii="宋体" w:hAnsi="宋体"/>
          <w:color w:val="000000"/>
          <w:sz w:val="23"/>
          <w:szCs w:val="23"/>
        </w:rPr>
      </w:pPr>
      <w:r>
        <w:rPr>
          <w:rFonts w:hint="eastAsia" w:ascii="宋体" w:hAnsi="宋体"/>
          <w:bCs/>
          <w:color w:val="000000"/>
          <w:sz w:val="23"/>
          <w:szCs w:val="23"/>
        </w:rPr>
        <w:t>履约要求</w:t>
      </w:r>
    </w:p>
    <w:p>
      <w:pPr>
        <w:numPr>
          <w:ilvl w:val="0"/>
          <w:numId w:val="18"/>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8"/>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8"/>
        </w:numPr>
        <w:rPr>
          <w:rFonts w:ascii="宋体" w:hAnsi="宋体"/>
          <w:color w:val="000000"/>
          <w:sz w:val="23"/>
          <w:szCs w:val="23"/>
        </w:rPr>
      </w:pPr>
      <w:r>
        <w:rPr>
          <w:rFonts w:hint="eastAsia" w:ascii="宋体" w:hAnsi="宋体"/>
          <w:color w:val="000000"/>
          <w:sz w:val="23"/>
          <w:szCs w:val="23"/>
        </w:rPr>
        <w:t>质量要求：。</w:t>
      </w:r>
    </w:p>
    <w:p>
      <w:pPr>
        <w:numPr>
          <w:ilvl w:val="0"/>
          <w:numId w:val="18"/>
        </w:numPr>
        <w:rPr>
          <w:rFonts w:ascii="宋体" w:hAnsi="宋体"/>
          <w:color w:val="000000"/>
          <w:sz w:val="23"/>
          <w:szCs w:val="23"/>
        </w:rPr>
      </w:pPr>
      <w:r>
        <w:rPr>
          <w:rFonts w:hint="eastAsia" w:ascii="宋体" w:hAnsi="宋体"/>
          <w:color w:val="000000"/>
          <w:sz w:val="23"/>
          <w:szCs w:val="23"/>
        </w:rPr>
        <w:t>验收标准：。</w:t>
      </w:r>
    </w:p>
    <w:p>
      <w:pPr>
        <w:numPr>
          <w:ilvl w:val="0"/>
          <w:numId w:val="18"/>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bCs/>
          <w:color w:val="000000"/>
          <w:sz w:val="23"/>
          <w:szCs w:val="23"/>
        </w:rPr>
        <w:t>履约保证金</w:t>
      </w:r>
    </w:p>
    <w:p>
      <w:pPr>
        <w:numPr>
          <w:ilvl w:val="0"/>
          <w:numId w:val="19"/>
        </w:numPr>
        <w:rPr>
          <w:rFonts w:ascii="宋体" w:hAnsi="宋体"/>
          <w:color w:val="000000"/>
          <w:sz w:val="23"/>
          <w:szCs w:val="23"/>
        </w:rPr>
      </w:pPr>
      <w:r>
        <w:rPr>
          <w:rFonts w:hint="eastAsia" w:ascii="宋体" w:hAnsi="宋体"/>
          <w:color w:val="000000"/>
          <w:sz w:val="23"/>
          <w:szCs w:val="23"/>
        </w:rPr>
        <w:t>金额：。</w:t>
      </w:r>
    </w:p>
    <w:p>
      <w:pPr>
        <w:numPr>
          <w:ilvl w:val="0"/>
          <w:numId w:val="19"/>
        </w:numPr>
        <w:rPr>
          <w:rFonts w:ascii="宋体" w:hAnsi="宋体"/>
          <w:color w:val="000000"/>
          <w:sz w:val="23"/>
          <w:szCs w:val="23"/>
        </w:rPr>
      </w:pPr>
      <w:r>
        <w:rPr>
          <w:rFonts w:hint="eastAsia" w:ascii="宋体" w:hAnsi="宋体"/>
          <w:color w:val="000000"/>
          <w:sz w:val="23"/>
          <w:szCs w:val="23"/>
        </w:rPr>
        <w:t>交纳方式：。</w:t>
      </w:r>
    </w:p>
    <w:p>
      <w:pPr>
        <w:numPr>
          <w:ilvl w:val="0"/>
          <w:numId w:val="19"/>
        </w:numPr>
        <w:rPr>
          <w:rFonts w:ascii="宋体" w:hAnsi="宋体"/>
          <w:color w:val="000000"/>
          <w:sz w:val="23"/>
          <w:szCs w:val="23"/>
        </w:rPr>
      </w:pPr>
      <w:r>
        <w:rPr>
          <w:rFonts w:hint="eastAsia" w:ascii="宋体" w:hAnsi="宋体"/>
          <w:color w:val="000000"/>
          <w:sz w:val="23"/>
          <w:szCs w:val="23"/>
        </w:rPr>
        <w:t>用途：。</w:t>
      </w:r>
    </w:p>
    <w:p>
      <w:pPr>
        <w:numPr>
          <w:ilvl w:val="0"/>
          <w:numId w:val="19"/>
        </w:numPr>
        <w:rPr>
          <w:rFonts w:ascii="宋体" w:hAnsi="宋体"/>
          <w:color w:val="000000"/>
          <w:sz w:val="23"/>
          <w:szCs w:val="23"/>
        </w:rPr>
      </w:pPr>
      <w:r>
        <w:rPr>
          <w:rFonts w:hint="eastAsia" w:ascii="宋体" w:hAnsi="宋体"/>
          <w:color w:val="000000"/>
          <w:sz w:val="23"/>
          <w:szCs w:val="23"/>
        </w:rPr>
        <w:t>退回条件：。</w:t>
      </w:r>
    </w:p>
    <w:p>
      <w:pPr>
        <w:numPr>
          <w:ilvl w:val="0"/>
          <w:numId w:val="13"/>
        </w:numPr>
        <w:rPr>
          <w:rFonts w:ascii="宋体" w:hAnsi="宋体"/>
          <w:color w:val="000000"/>
          <w:sz w:val="23"/>
          <w:szCs w:val="23"/>
        </w:rPr>
      </w:pPr>
      <w:r>
        <w:rPr>
          <w:rFonts w:hint="eastAsia" w:ascii="宋体" w:hAnsi="宋体"/>
          <w:color w:val="000000"/>
          <w:sz w:val="23"/>
          <w:szCs w:val="23"/>
        </w:rPr>
        <w:t>甲方的权利与义务</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20"/>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3"/>
        </w:numPr>
        <w:rPr>
          <w:rFonts w:ascii="宋体" w:hAnsi="宋体"/>
          <w:color w:val="000000"/>
          <w:sz w:val="23"/>
          <w:szCs w:val="23"/>
        </w:rPr>
      </w:pPr>
      <w:r>
        <w:rPr>
          <w:rFonts w:hint="eastAsia" w:ascii="宋体" w:hAnsi="宋体"/>
          <w:color w:val="000000"/>
          <w:sz w:val="23"/>
          <w:szCs w:val="23"/>
        </w:rPr>
        <w:t>乙方的权利与义务</w:t>
      </w:r>
    </w:p>
    <w:p>
      <w:pPr>
        <w:numPr>
          <w:ilvl w:val="0"/>
          <w:numId w:val="21"/>
        </w:numPr>
        <w:rPr>
          <w:rFonts w:ascii="宋体" w:hAnsi="宋体"/>
          <w:color w:val="000000"/>
          <w:sz w:val="23"/>
          <w:szCs w:val="23"/>
        </w:rPr>
      </w:pPr>
      <w:r>
        <w:rPr>
          <w:rFonts w:hint="eastAsia" w:ascii="宋体" w:hAnsi="宋体"/>
          <w:color w:val="000000"/>
          <w:sz w:val="23"/>
          <w:szCs w:val="23"/>
        </w:rPr>
        <w:t>双方的约定：。</w:t>
      </w:r>
    </w:p>
    <w:p>
      <w:pPr>
        <w:numPr>
          <w:ilvl w:val="0"/>
          <w:numId w:val="21"/>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3"/>
        </w:numPr>
        <w:rPr>
          <w:rFonts w:ascii="宋体" w:hAnsi="宋体"/>
          <w:color w:val="000000"/>
          <w:sz w:val="23"/>
          <w:szCs w:val="23"/>
        </w:rPr>
      </w:pPr>
      <w:r>
        <w:rPr>
          <w:rFonts w:hint="eastAsia" w:ascii="宋体" w:hAnsi="宋体"/>
          <w:color w:val="000000"/>
          <w:sz w:val="23"/>
          <w:szCs w:val="23"/>
        </w:rPr>
        <w:t>违约处罚</w:t>
      </w:r>
    </w:p>
    <w:p>
      <w:pPr>
        <w:numPr>
          <w:ilvl w:val="0"/>
          <w:numId w:val="22"/>
        </w:numPr>
        <w:rPr>
          <w:rFonts w:ascii="宋体" w:hAnsi="宋体"/>
          <w:color w:val="000000"/>
          <w:sz w:val="23"/>
          <w:szCs w:val="23"/>
        </w:rPr>
      </w:pPr>
      <w:r>
        <w:rPr>
          <w:rFonts w:hint="eastAsia" w:ascii="宋体" w:hAnsi="宋体"/>
          <w:color w:val="000000"/>
          <w:sz w:val="23"/>
          <w:szCs w:val="23"/>
        </w:rPr>
        <w:t>双方的约定：。</w:t>
      </w:r>
    </w:p>
    <w:p>
      <w:pPr>
        <w:numPr>
          <w:ilvl w:val="0"/>
          <w:numId w:val="13"/>
        </w:numPr>
        <w:rPr>
          <w:rFonts w:ascii="宋体" w:hAnsi="宋体"/>
          <w:color w:val="000000"/>
          <w:sz w:val="23"/>
          <w:szCs w:val="23"/>
        </w:rPr>
      </w:pPr>
      <w:r>
        <w:rPr>
          <w:rFonts w:hint="eastAsia" w:ascii="宋体" w:hAnsi="宋体"/>
          <w:color w:val="000000"/>
          <w:sz w:val="23"/>
          <w:szCs w:val="23"/>
        </w:rPr>
        <w:t>免责条款</w:t>
      </w:r>
    </w:p>
    <w:p>
      <w:pPr>
        <w:numPr>
          <w:ilvl w:val="0"/>
          <w:numId w:val="23"/>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3"/>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3"/>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color w:val="000000"/>
          <w:sz w:val="23"/>
          <w:szCs w:val="23"/>
        </w:rPr>
        <w:t>争议的解决</w:t>
      </w:r>
    </w:p>
    <w:p>
      <w:pPr>
        <w:numPr>
          <w:ilvl w:val="0"/>
          <w:numId w:val="24"/>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4"/>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3"/>
        </w:numPr>
        <w:rPr>
          <w:rFonts w:ascii="宋体" w:hAnsi="宋体"/>
          <w:color w:val="000000"/>
          <w:sz w:val="23"/>
          <w:szCs w:val="23"/>
        </w:rPr>
      </w:pPr>
      <w:r>
        <w:rPr>
          <w:rFonts w:hint="eastAsia" w:ascii="宋体" w:hAnsi="宋体"/>
          <w:bCs/>
          <w:color w:val="000000"/>
          <w:sz w:val="23"/>
          <w:szCs w:val="23"/>
        </w:rPr>
        <w:t>合同生效</w:t>
      </w:r>
    </w:p>
    <w:p>
      <w:pPr>
        <w:numPr>
          <w:ilvl w:val="0"/>
          <w:numId w:val="25"/>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3"/>
        </w:numPr>
        <w:rPr>
          <w:rFonts w:ascii="宋体" w:hAnsi="宋体"/>
          <w:color w:val="000000"/>
          <w:sz w:val="23"/>
          <w:szCs w:val="23"/>
        </w:rPr>
      </w:pPr>
      <w:r>
        <w:rPr>
          <w:rFonts w:hint="eastAsia" w:ascii="宋体" w:hAnsi="宋体"/>
          <w:bCs/>
          <w:color w:val="000000"/>
          <w:sz w:val="23"/>
          <w:szCs w:val="23"/>
        </w:rPr>
        <w:t>合同的解除</w:t>
      </w:r>
    </w:p>
    <w:p>
      <w:pPr>
        <w:numPr>
          <w:ilvl w:val="0"/>
          <w:numId w:val="26"/>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6"/>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color w:val="000000"/>
          <w:sz w:val="23"/>
          <w:szCs w:val="23"/>
        </w:rPr>
        <w:t>附则</w:t>
      </w:r>
    </w:p>
    <w:p>
      <w:pPr>
        <w:numPr>
          <w:ilvl w:val="0"/>
          <w:numId w:val="27"/>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7"/>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7"/>
        </w:numPr>
        <w:rPr>
          <w:rFonts w:ascii="宋体" w:hAnsi="宋体"/>
          <w:color w:val="000000"/>
          <w:sz w:val="23"/>
          <w:szCs w:val="23"/>
        </w:rPr>
      </w:pPr>
      <w:r>
        <w:rPr>
          <w:rFonts w:hint="eastAsia" w:ascii="宋体" w:hAnsi="宋体"/>
          <w:color w:val="000000"/>
          <w:sz w:val="23"/>
          <w:szCs w:val="23"/>
        </w:rPr>
        <w:t>双方的其它约定：。</w:t>
      </w:r>
    </w:p>
    <w:p>
      <w:pPr>
        <w:numPr>
          <w:ilvl w:val="0"/>
          <w:numId w:val="13"/>
        </w:numPr>
        <w:rPr>
          <w:rFonts w:ascii="宋体" w:hAnsi="宋体"/>
          <w:color w:val="000000"/>
          <w:sz w:val="23"/>
          <w:szCs w:val="23"/>
        </w:rPr>
      </w:pPr>
      <w:r>
        <w:rPr>
          <w:rFonts w:hint="eastAsia" w:ascii="宋体" w:hAnsi="宋体"/>
          <w:color w:val="000000"/>
          <w:sz w:val="23"/>
          <w:szCs w:val="23"/>
        </w:rPr>
        <w:t>合同附件</w:t>
      </w:r>
    </w:p>
    <w:p>
      <w:pPr>
        <w:numPr>
          <w:ilvl w:val="0"/>
          <w:numId w:val="28"/>
        </w:numPr>
        <w:rPr>
          <w:rFonts w:ascii="宋体" w:hAnsi="宋体"/>
          <w:color w:val="000000"/>
          <w:sz w:val="23"/>
          <w:szCs w:val="23"/>
        </w:rPr>
      </w:pPr>
      <w:r>
        <w:rPr>
          <w:rFonts w:hint="eastAsia" w:ascii="宋体" w:hAnsi="宋体"/>
          <w:color w:val="000000"/>
          <w:sz w:val="23"/>
          <w:szCs w:val="23"/>
        </w:rPr>
        <w:t>附件一：价格明细清单。</w:t>
      </w:r>
    </w:p>
    <w:p>
      <w:pPr>
        <w:numPr>
          <w:ilvl w:val="0"/>
          <w:numId w:val="28"/>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8"/>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1"/>
        <w:tblW w:w="7938" w:type="dxa"/>
        <w:jc w:val="center"/>
        <w:tblInd w:w="0" w:type="dxa"/>
        <w:tblLayout w:type="fixed"/>
        <w:tblCellMar>
          <w:top w:w="0" w:type="dxa"/>
          <w:left w:w="108" w:type="dxa"/>
          <w:bottom w:w="0" w:type="dxa"/>
          <w:right w:w="108" w:type="dxa"/>
        </w:tblCellMar>
      </w:tblPr>
      <w:tblGrid>
        <w:gridCol w:w="1701"/>
        <w:gridCol w:w="2268"/>
        <w:gridCol w:w="1701"/>
        <w:gridCol w:w="2268"/>
      </w:tblGrid>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2"/>
        <w:spacing w:before="0" w:after="0" w:line="240" w:lineRule="auto"/>
        <w:jc w:val="center"/>
        <w:rPr>
          <w:rFonts w:ascii="宋体" w:hAnsi="宋体"/>
          <w:b w:val="0"/>
          <w:bCs w:val="0"/>
          <w:color w:val="000000"/>
          <w:sz w:val="23"/>
          <w:szCs w:val="23"/>
        </w:rPr>
      </w:pPr>
      <w:r>
        <w:rPr>
          <w:b w:val="0"/>
          <w:color w:val="000000"/>
          <w:sz w:val="23"/>
          <w:szCs w:val="23"/>
        </w:rPr>
        <w:br w:type="page"/>
      </w:r>
      <w:bookmarkStart w:id="75" w:name="_Toc17442"/>
      <w:bookmarkStart w:id="76" w:name="_Toc298242764"/>
      <w:r>
        <w:rPr>
          <w:rFonts w:hint="eastAsia" w:ascii="宋体" w:hAnsi="宋体"/>
          <w:b w:val="0"/>
          <w:bCs w:val="0"/>
          <w:color w:val="000000"/>
          <w:sz w:val="23"/>
          <w:szCs w:val="23"/>
        </w:rPr>
        <w:t>第六部分  投标文件格式</w:t>
      </w:r>
      <w:bookmarkEnd w:id="75"/>
      <w:bookmarkEnd w:id="76"/>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3"/>
        <w:numPr>
          <w:ilvl w:val="0"/>
          <w:numId w:val="29"/>
        </w:numPr>
        <w:spacing w:before="0" w:after="0" w:line="400" w:lineRule="exact"/>
        <w:rPr>
          <w:rFonts w:ascii="宋体" w:hAnsi="宋体"/>
          <w:b w:val="0"/>
          <w:color w:val="000000"/>
          <w:sz w:val="23"/>
          <w:szCs w:val="23"/>
        </w:rPr>
      </w:pPr>
      <w:bookmarkStart w:id="77" w:name="_Toc8702"/>
      <w:r>
        <w:rPr>
          <w:rFonts w:hint="eastAsia" w:ascii="宋体" w:hAnsi="宋体"/>
          <w:b w:val="0"/>
          <w:color w:val="000000"/>
          <w:sz w:val="23"/>
          <w:szCs w:val="23"/>
        </w:rPr>
        <w:t>投标函</w:t>
      </w:r>
      <w:bookmarkEnd w:id="77"/>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color w:val="000000"/>
          <w:sz w:val="23"/>
          <w:szCs w:val="23"/>
          <w:u w:val="single"/>
        </w:rPr>
        <w:t xml:space="preserve"> 1 </w:t>
      </w:r>
      <w:r>
        <w:rPr>
          <w:rFonts w:hint="eastAsia" w:ascii="宋体" w:hAnsi="宋体"/>
          <w:color w:val="000000"/>
          <w:sz w:val="23"/>
          <w:szCs w:val="23"/>
        </w:rPr>
        <w:t>套，</w:t>
      </w:r>
      <w:bookmarkStart w:id="78" w:name="OLE_LINK4"/>
      <w:r>
        <w:rPr>
          <w:rFonts w:hint="eastAsia" w:ascii="宋体" w:hAnsi="宋体"/>
          <w:color w:val="000000"/>
          <w:sz w:val="23"/>
          <w:szCs w:val="23"/>
        </w:rPr>
        <w:t>副本</w:t>
      </w:r>
      <w:bookmarkEnd w:id="78"/>
      <w:r>
        <w:rPr>
          <w:rFonts w:hint="eastAsia" w:ascii="宋体" w:hAnsi="宋体"/>
          <w:color w:val="000000"/>
          <w:sz w:val="23"/>
          <w:szCs w:val="23"/>
          <w:u w:val="single"/>
        </w:rPr>
        <w:t>4</w:t>
      </w:r>
      <w:r>
        <w:rPr>
          <w:rFonts w:hint="eastAsia" w:ascii="宋体" w:hAnsi="宋体"/>
          <w:color w:val="000000"/>
          <w:sz w:val="23"/>
          <w:szCs w:val="23"/>
        </w:rPr>
        <w:t>套，投标文件包括如下内容：</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商务文件。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30"/>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ind w:firstLine="420"/>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1"/>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1"/>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3"/>
        <w:numPr>
          <w:ilvl w:val="0"/>
          <w:numId w:val="29"/>
        </w:numPr>
        <w:spacing w:before="0" w:after="0" w:line="400" w:lineRule="exact"/>
        <w:rPr>
          <w:rFonts w:ascii="宋体" w:hAnsi="宋体"/>
          <w:b w:val="0"/>
          <w:color w:val="000000"/>
          <w:sz w:val="23"/>
          <w:szCs w:val="23"/>
        </w:rPr>
      </w:pPr>
      <w:bookmarkStart w:id="79" w:name="_Toc22742"/>
      <w:bookmarkStart w:id="80" w:name="_Toc298242766"/>
      <w:r>
        <w:rPr>
          <w:rFonts w:hint="eastAsia" w:ascii="宋体" w:hAnsi="宋体"/>
          <w:b w:val="0"/>
          <w:color w:val="000000"/>
          <w:sz w:val="23"/>
          <w:szCs w:val="23"/>
        </w:rPr>
        <w:t>价格文件</w:t>
      </w:r>
      <w:bookmarkEnd w:id="79"/>
      <w:bookmarkEnd w:id="80"/>
    </w:p>
    <w:p>
      <w:pPr>
        <w:adjustRightInd w:val="0"/>
        <w:snapToGrid w:val="0"/>
        <w:outlineLvl w:val="0"/>
        <w:rPr>
          <w:rFonts w:ascii="宋体" w:hAnsi="宋体"/>
          <w:color w:val="000000"/>
          <w:sz w:val="23"/>
          <w:szCs w:val="23"/>
        </w:rPr>
      </w:pPr>
    </w:p>
    <w:p>
      <w:pPr>
        <w:spacing w:line="560" w:lineRule="exact"/>
        <w:jc w:val="center"/>
        <w:rPr>
          <w:rFonts w:ascii="宋体" w:hAnsi="宋体"/>
          <w:color w:val="000000"/>
          <w:sz w:val="23"/>
          <w:szCs w:val="23"/>
        </w:rPr>
      </w:pPr>
      <w:r>
        <w:rPr>
          <w:rFonts w:hint="eastAsia" w:ascii="宋体" w:hAnsi="宋体"/>
          <w:color w:val="000000"/>
          <w:sz w:val="23"/>
          <w:szCs w:val="23"/>
        </w:rPr>
        <w:t>投标报价一览表</w:t>
      </w:r>
    </w:p>
    <w:p>
      <w:pPr>
        <w:adjustRightInd w:val="0"/>
        <w:snapToGrid w:val="0"/>
        <w:outlineLvl w:val="0"/>
        <w:rPr>
          <w:rFonts w:ascii="宋体" w:hAnsi="宋体"/>
          <w:color w:val="000000"/>
          <w:sz w:val="23"/>
          <w:szCs w:val="23"/>
        </w:rPr>
      </w:pPr>
    </w:p>
    <w:p>
      <w:pPr>
        <w:adjustRightInd w:val="0"/>
        <w:snapToGrid w:val="0"/>
        <w:jc w:val="right"/>
        <w:rPr>
          <w:rFonts w:ascii="宋体" w:hAnsi="宋体"/>
          <w:color w:val="000000"/>
          <w:sz w:val="23"/>
          <w:szCs w:val="23"/>
        </w:rPr>
      </w:pPr>
      <w:r>
        <w:rPr>
          <w:rFonts w:hint="eastAsia" w:ascii="宋体" w:hAnsi="宋体"/>
          <w:color w:val="000000"/>
          <w:sz w:val="23"/>
          <w:szCs w:val="23"/>
        </w:rPr>
        <w:t>货币单位：人民币元</w:t>
      </w:r>
    </w:p>
    <w:tbl>
      <w:tblPr>
        <w:tblStyle w:val="41"/>
        <w:tblW w:w="9348" w:type="dxa"/>
        <w:jc w:val="center"/>
        <w:tblInd w:w="0" w:type="dxa"/>
        <w:tblLayout w:type="fixed"/>
        <w:tblCellMar>
          <w:top w:w="0" w:type="dxa"/>
          <w:left w:w="30" w:type="dxa"/>
          <w:bottom w:w="0" w:type="dxa"/>
          <w:right w:w="30" w:type="dxa"/>
        </w:tblCellMar>
      </w:tblPr>
      <w:tblGrid>
        <w:gridCol w:w="2229"/>
        <w:gridCol w:w="7119"/>
      </w:tblGrid>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kern w:val="0"/>
                <w:sz w:val="23"/>
                <w:szCs w:val="23"/>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r>
      <w:tr>
        <w:tblPrEx>
          <w:tblLayout w:type="fixed"/>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r>
              <w:rPr>
                <w:rFonts w:hint="eastAsia" w:ascii="宋体" w:hAnsi="宋体"/>
                <w:color w:val="000000"/>
                <w:sz w:val="23"/>
                <w:szCs w:val="23"/>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olor w:val="000000"/>
                <w:kern w:val="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hAnsi="宋体"/>
                <w:color w:val="000000"/>
                <w:kern w:val="0"/>
                <w:sz w:val="23"/>
                <w:szCs w:val="23"/>
                <w:u w:val="single"/>
              </w:rPr>
              <w:t xml:space="preserve">￥                                    </w:t>
            </w:r>
          </w:p>
        </w:tc>
      </w:tr>
      <w:tr>
        <w:tblPrEx>
          <w:tblLayout w:type="fixed"/>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05" w:firstLineChars="350"/>
              <w:rPr>
                <w:rFonts w:ascii="宋体"/>
                <w:color w:val="000000"/>
                <w:sz w:val="23"/>
                <w:szCs w:val="23"/>
                <w:u w:val="single"/>
              </w:rPr>
            </w:pPr>
          </w:p>
          <w:p>
            <w:pPr>
              <w:autoSpaceDE w:val="0"/>
              <w:autoSpaceDN w:val="0"/>
              <w:adjustRightInd w:val="0"/>
              <w:spacing w:line="480" w:lineRule="exact"/>
              <w:ind w:firstLine="345" w:firstLineChars="150"/>
              <w:rPr>
                <w:rFonts w:ascii="宋体" w:hAnsi="宋体"/>
                <w:color w:val="000000"/>
                <w:kern w:val="0"/>
                <w:sz w:val="23"/>
                <w:szCs w:val="23"/>
              </w:rPr>
            </w:pPr>
            <w:r>
              <w:rPr>
                <w:rFonts w:hint="eastAsia" w:ascii="宋体"/>
                <w:color w:val="000000"/>
                <w:sz w:val="23"/>
                <w:szCs w:val="23"/>
                <w:u w:val="single"/>
              </w:rPr>
              <w:t xml:space="preserve">大写：                                        </w:t>
            </w: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color w:val="000000"/>
                <w:sz w:val="23"/>
                <w:szCs w:val="23"/>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3"/>
                <w:szCs w:val="23"/>
              </w:rPr>
            </w:pPr>
          </w:p>
        </w:tc>
      </w:tr>
    </w:tbl>
    <w:p>
      <w:pPr>
        <w:pStyle w:val="22"/>
        <w:spacing w:line="480" w:lineRule="exact"/>
        <w:rPr>
          <w:rFonts w:hAnsi="宋体"/>
          <w:color w:val="000000"/>
          <w:sz w:val="23"/>
          <w:szCs w:val="23"/>
        </w:rPr>
      </w:pPr>
      <w:r>
        <w:rPr>
          <w:rFonts w:hint="eastAsia" w:hAnsi="宋体"/>
          <w:color w:val="000000"/>
          <w:sz w:val="23"/>
          <w:szCs w:val="23"/>
        </w:rPr>
        <w:t>注：</w:t>
      </w:r>
    </w:p>
    <w:p>
      <w:pPr>
        <w:pStyle w:val="22"/>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2"/>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2"/>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color w:val="000000"/>
          <w:sz w:val="23"/>
          <w:szCs w:val="23"/>
          <w:u w:val="single"/>
        </w:rPr>
        <w:t>必要文件</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pPr>
        <w:rPr>
          <w:color w:val="000000"/>
          <w:sz w:val="23"/>
          <w:szCs w:val="23"/>
        </w:rPr>
      </w:pPr>
      <w:r>
        <w:rPr>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81" w:name="_Toc295727241"/>
      <w:bookmarkStart w:id="82" w:name="_Toc16758"/>
      <w:r>
        <w:rPr>
          <w:rFonts w:hint="eastAsia" w:ascii="宋体" w:hAnsi="宋体"/>
          <w:b w:val="0"/>
          <w:color w:val="000000"/>
          <w:sz w:val="23"/>
          <w:szCs w:val="23"/>
        </w:rPr>
        <w:t>技术文件</w:t>
      </w:r>
      <w:bookmarkEnd w:id="81"/>
      <w:bookmarkEnd w:id="82"/>
    </w:p>
    <w:p>
      <w:pPr>
        <w:numPr>
          <w:ilvl w:val="0"/>
          <w:numId w:val="33"/>
        </w:numPr>
        <w:spacing w:line="560" w:lineRule="exact"/>
        <w:rPr>
          <w:rFonts w:ascii="宋体" w:hAnsi="宋体"/>
          <w:color w:val="000000"/>
          <w:sz w:val="23"/>
          <w:szCs w:val="23"/>
        </w:rPr>
      </w:pPr>
      <w:r>
        <w:rPr>
          <w:rFonts w:hint="eastAsia" w:ascii="宋体" w:hAnsi="宋体"/>
          <w:color w:val="000000"/>
          <w:sz w:val="23"/>
          <w:szCs w:val="23"/>
        </w:rPr>
        <w:t>技术响应表</w:t>
      </w: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752" w:type="dxa"/>
            <w:vAlign w:val="center"/>
          </w:tcPr>
          <w:p>
            <w:pPr>
              <w:jc w:val="center"/>
              <w:rPr>
                <w:rFonts w:ascii="宋体" w:hAnsi="宋体"/>
                <w:color w:val="000000"/>
                <w:sz w:val="23"/>
                <w:szCs w:val="23"/>
              </w:rPr>
            </w:pPr>
            <w:r>
              <w:rPr>
                <w:rFonts w:hint="eastAsia" w:ascii="宋体" w:hAnsi="宋体"/>
                <w:color w:val="000000"/>
                <w:sz w:val="23"/>
                <w:szCs w:val="23"/>
              </w:rPr>
              <w:t>技术要求</w:t>
            </w:r>
          </w:p>
        </w:tc>
        <w:tc>
          <w:tcPr>
            <w:tcW w:w="3383" w:type="dxa"/>
            <w:vAlign w:val="center"/>
          </w:tcPr>
          <w:p>
            <w:pPr>
              <w:jc w:val="center"/>
              <w:rPr>
                <w:rFonts w:ascii="宋体" w:hAnsi="宋体"/>
                <w:color w:val="000000"/>
                <w:sz w:val="23"/>
                <w:szCs w:val="23"/>
              </w:rPr>
            </w:pPr>
            <w:r>
              <w:rPr>
                <w:rFonts w:hint="eastAsia" w:ascii="宋体" w:hAnsi="宋体"/>
                <w:color w:val="000000"/>
                <w:sz w:val="23"/>
                <w:szCs w:val="23"/>
              </w:rPr>
              <w:t>投标/响应实际参数</w:t>
            </w:r>
          </w:p>
          <w:p>
            <w:pPr>
              <w:jc w:val="center"/>
              <w:rPr>
                <w:rFonts w:ascii="宋体" w:hAnsi="宋体"/>
                <w:color w:val="000000"/>
                <w:sz w:val="23"/>
                <w:szCs w:val="23"/>
              </w:rPr>
            </w:pPr>
            <w:r>
              <w:rPr>
                <w:rFonts w:hint="eastAsia" w:ascii="宋体" w:hAnsi="宋体"/>
                <w:bCs/>
                <w:color w:val="000000"/>
                <w:sz w:val="23"/>
                <w:szCs w:val="23"/>
              </w:rPr>
              <w:t>(投标人应按响应技术实际数据填写，不能照抄要求)</w:t>
            </w:r>
          </w:p>
        </w:tc>
        <w:tc>
          <w:tcPr>
            <w:tcW w:w="2100" w:type="dxa"/>
            <w:vAlign w:val="center"/>
          </w:tcPr>
          <w:p>
            <w:pPr>
              <w:jc w:val="center"/>
              <w:rPr>
                <w:rFonts w:ascii="宋体" w:hAnsi="宋体"/>
                <w:color w:val="000000"/>
                <w:sz w:val="23"/>
                <w:szCs w:val="23"/>
              </w:rPr>
            </w:pPr>
            <w:r>
              <w:rPr>
                <w:rFonts w:hint="eastAsia" w:ascii="宋体" w:hAnsi="宋体"/>
                <w:color w:val="000000"/>
                <w:sz w:val="23"/>
                <w:szCs w:val="23"/>
              </w:rPr>
              <w:t>是否偏离（无偏离/正偏离/负偏离）</w:t>
            </w:r>
          </w:p>
        </w:tc>
        <w:tc>
          <w:tcPr>
            <w:tcW w:w="695" w:type="dxa"/>
            <w:vAlign w:val="center"/>
          </w:tcPr>
          <w:p>
            <w:pPr>
              <w:jc w:val="center"/>
              <w:rPr>
                <w:rFonts w:ascii="宋体" w:hAnsi="宋体"/>
                <w:color w:val="000000"/>
                <w:sz w:val="23"/>
                <w:szCs w:val="23"/>
              </w:rPr>
            </w:pPr>
            <w:r>
              <w:rPr>
                <w:rFonts w:hint="eastAsia" w:ascii="宋体" w:hAnsi="宋体"/>
                <w:color w:val="000000"/>
                <w:sz w:val="23"/>
                <w:szCs w:val="23"/>
              </w:rPr>
              <w:t>偏离简述</w:t>
            </w:r>
          </w:p>
        </w:tc>
        <w:tc>
          <w:tcPr>
            <w:tcW w:w="1205" w:type="dxa"/>
            <w:vAlign w:val="center"/>
          </w:tcPr>
          <w:p>
            <w:pPr>
              <w:jc w:val="center"/>
              <w:rPr>
                <w:rFonts w:ascii="宋体" w:hAnsi="宋体"/>
                <w:color w:val="000000"/>
                <w:sz w:val="23"/>
                <w:szCs w:val="23"/>
              </w:rPr>
            </w:pPr>
            <w:r>
              <w:rPr>
                <w:rFonts w:hint="eastAsia" w:ascii="宋体" w:hAnsi="宋体"/>
                <w:color w:val="000000"/>
                <w:sz w:val="23"/>
                <w:szCs w:val="23"/>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1</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2</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3</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4</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5</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6</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7</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8</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r>
              <w:rPr>
                <w:rFonts w:hint="eastAsia" w:ascii="宋体" w:hAnsi="宋体"/>
                <w:color w:val="000000"/>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 w:val="23"/>
                <w:szCs w:val="23"/>
              </w:rPr>
            </w:pPr>
            <w:r>
              <w:rPr>
                <w:rFonts w:hint="eastAsia" w:ascii="宋体" w:hAnsi="宋体"/>
                <w:color w:val="000000"/>
                <w:sz w:val="23"/>
                <w:szCs w:val="23"/>
              </w:rPr>
              <w:t>…</w:t>
            </w:r>
          </w:p>
        </w:tc>
        <w:tc>
          <w:tcPr>
            <w:tcW w:w="752" w:type="dxa"/>
            <w:vAlign w:val="center"/>
          </w:tcPr>
          <w:p>
            <w:pPr>
              <w:jc w:val="center"/>
              <w:rPr>
                <w:rFonts w:ascii="宋体" w:hAnsi="宋体"/>
                <w:color w:val="000000"/>
                <w:sz w:val="23"/>
                <w:szCs w:val="23"/>
              </w:rPr>
            </w:pPr>
          </w:p>
        </w:tc>
        <w:tc>
          <w:tcPr>
            <w:tcW w:w="3383" w:type="dxa"/>
            <w:vAlign w:val="center"/>
          </w:tcPr>
          <w:p>
            <w:pPr>
              <w:jc w:val="center"/>
              <w:rPr>
                <w:rFonts w:ascii="宋体" w:hAnsi="宋体"/>
                <w:color w:val="000000"/>
                <w:sz w:val="23"/>
                <w:szCs w:val="23"/>
              </w:rPr>
            </w:pPr>
          </w:p>
        </w:tc>
        <w:tc>
          <w:tcPr>
            <w:tcW w:w="2100" w:type="dxa"/>
            <w:vAlign w:val="center"/>
          </w:tcPr>
          <w:p>
            <w:pPr>
              <w:jc w:val="center"/>
              <w:rPr>
                <w:rFonts w:ascii="宋体" w:hAnsi="宋体"/>
                <w:color w:val="000000"/>
                <w:sz w:val="23"/>
                <w:szCs w:val="23"/>
              </w:rPr>
            </w:pPr>
          </w:p>
        </w:tc>
        <w:tc>
          <w:tcPr>
            <w:tcW w:w="695" w:type="dxa"/>
            <w:vAlign w:val="center"/>
          </w:tcPr>
          <w:p>
            <w:pPr>
              <w:jc w:val="center"/>
              <w:rPr>
                <w:rFonts w:ascii="宋体" w:hAnsi="宋体"/>
                <w:color w:val="000000"/>
                <w:sz w:val="23"/>
                <w:szCs w:val="23"/>
              </w:rPr>
            </w:pPr>
          </w:p>
        </w:tc>
        <w:tc>
          <w:tcPr>
            <w:tcW w:w="1205" w:type="dxa"/>
          </w:tcPr>
          <w:p>
            <w:pP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spacing w:line="0" w:lineRule="atLeast"/>
        <w:ind w:left="775" w:hanging="775" w:hangingChars="337"/>
        <w:rPr>
          <w:rFonts w:ascii="宋体" w:hAnsi="宋体"/>
          <w:color w:val="000000"/>
          <w:sz w:val="23"/>
          <w:szCs w:val="23"/>
        </w:rPr>
      </w:pPr>
      <w:r>
        <w:rPr>
          <w:rFonts w:hint="eastAsia" w:ascii="宋体" w:hAnsi="宋体"/>
          <w:color w:val="000000"/>
          <w:sz w:val="23"/>
          <w:szCs w:val="23"/>
        </w:rPr>
        <w:t>注</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rPr>
        <w:t>1、投标人必须对应招标文件第二部分《项目内容及需求》中所投包组“技术要求”的一般技术要求的有关内容逐条响应。</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lang w:val="en-GB"/>
        </w:rPr>
        <w:t>2、</w:t>
      </w:r>
      <w:r>
        <w:rPr>
          <w:rFonts w:hint="eastAsia" w:ascii="宋体" w:hAnsi="宋体"/>
          <w:color w:val="000000"/>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color w:val="000000"/>
          <w:sz w:val="23"/>
          <w:szCs w:val="23"/>
          <w:lang w:val="en-GB"/>
        </w:rPr>
      </w:pPr>
      <w:r>
        <w:rPr>
          <w:rFonts w:hint="eastAsia" w:ascii="宋体" w:hAnsi="宋体"/>
          <w:color w:val="000000"/>
          <w:sz w:val="23"/>
          <w:szCs w:val="23"/>
        </w:rPr>
        <w:t>3、</w:t>
      </w:r>
      <w:r>
        <w:rPr>
          <w:rFonts w:hint="eastAsia" w:ascii="宋体" w:hAnsi="宋体"/>
          <w:color w:val="000000"/>
          <w:sz w:val="23"/>
          <w:szCs w:val="23"/>
          <w:lang w:val="en-GB"/>
        </w:rPr>
        <w:t>请在“偏离简述”栏内扼要说明偏离情况，如无偏离则不需列明。</w:t>
      </w:r>
    </w:p>
    <w:p>
      <w:pPr>
        <w:rPr>
          <w:rFonts w:ascii="宋体" w:hAnsi="宋体"/>
          <w:color w:val="000000"/>
          <w:sz w:val="23"/>
          <w:szCs w:val="23"/>
          <w:lang w:val="en-GB"/>
        </w:rPr>
      </w:pPr>
    </w:p>
    <w:p>
      <w:pPr>
        <w:rPr>
          <w:rFonts w:ascii="宋体" w:hAnsi="宋体"/>
          <w:color w:val="000000"/>
          <w:sz w:val="23"/>
          <w:szCs w:val="23"/>
          <w:lang w:val="en-GB"/>
        </w:rPr>
      </w:pP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adjustRightInd w:val="0"/>
        <w:snapToGrid w:val="0"/>
        <w:rPr>
          <w:rFonts w:ascii="宋体" w:hAnsi="宋体"/>
          <w:color w:val="000000"/>
          <w:kern w:val="0"/>
          <w:sz w:val="23"/>
          <w:szCs w:val="23"/>
        </w:rPr>
      </w:pPr>
    </w:p>
    <w:p>
      <w:pPr>
        <w:adjustRightInd w:val="0"/>
        <w:snapToGrid w:val="0"/>
        <w:rPr>
          <w:rFonts w:ascii="宋体" w:hAnsi="宋体"/>
          <w:color w:val="000000"/>
          <w:kern w:val="0"/>
          <w:sz w:val="23"/>
          <w:szCs w:val="23"/>
        </w:rPr>
      </w:pPr>
    </w:p>
    <w:p>
      <w:pPr>
        <w:adjustRightInd w:val="0"/>
        <w:snapToGrid w:val="0"/>
        <w:rPr>
          <w:rFonts w:ascii="宋体" w:hAnsi="宋体"/>
          <w:color w:val="000000"/>
          <w:kern w:val="0"/>
          <w:sz w:val="23"/>
          <w:szCs w:val="23"/>
        </w:rPr>
      </w:pPr>
      <w:r>
        <w:rPr>
          <w:rFonts w:hint="eastAsia" w:ascii="宋体" w:hAnsi="宋体"/>
          <w:color w:val="000000"/>
          <w:sz w:val="23"/>
          <w:szCs w:val="23"/>
          <w:u w:val="single"/>
        </w:rPr>
        <w:t>注：以上所有文件均需加盖投标人公章。</w:t>
      </w:r>
    </w:p>
    <w:p>
      <w:pPr>
        <w:pStyle w:val="3"/>
        <w:numPr>
          <w:ilvl w:val="0"/>
          <w:numId w:val="32"/>
        </w:numPr>
        <w:tabs>
          <w:tab w:val="left" w:pos="0"/>
        </w:tabs>
        <w:spacing w:before="0" w:after="0" w:line="400" w:lineRule="exact"/>
        <w:rPr>
          <w:b w:val="0"/>
          <w:sz w:val="23"/>
          <w:szCs w:val="23"/>
        </w:rPr>
      </w:pPr>
      <w:r>
        <w:rPr>
          <w:b w:val="0"/>
          <w:sz w:val="23"/>
          <w:szCs w:val="23"/>
        </w:rPr>
        <w:br w:type="page"/>
      </w:r>
      <w:bookmarkStart w:id="83" w:name="_Toc9418"/>
      <w:bookmarkStart w:id="84" w:name="_Toc295727242"/>
      <w:r>
        <w:rPr>
          <w:rFonts w:hint="eastAsia" w:ascii="宋体" w:hAnsi="宋体"/>
          <w:b w:val="0"/>
          <w:color w:val="000000"/>
          <w:sz w:val="23"/>
          <w:szCs w:val="23"/>
        </w:rPr>
        <w:t>商务文件</w:t>
      </w:r>
      <w:bookmarkEnd w:id="83"/>
      <w:bookmarkEnd w:id="84"/>
    </w:p>
    <w:p>
      <w:pPr>
        <w:adjustRightInd w:val="0"/>
        <w:snapToGrid w:val="0"/>
        <w:rPr>
          <w:rFonts w:ascii="宋体" w:hAnsi="宋体"/>
          <w:color w:val="000000"/>
          <w:kern w:val="0"/>
          <w:sz w:val="23"/>
          <w:szCs w:val="23"/>
        </w:rPr>
      </w:pPr>
    </w:p>
    <w:p>
      <w:pPr>
        <w:numPr>
          <w:ilvl w:val="0"/>
          <w:numId w:val="34"/>
        </w:numPr>
        <w:spacing w:line="560" w:lineRule="exact"/>
        <w:rPr>
          <w:rFonts w:ascii="宋体" w:hAnsi="宋体"/>
          <w:color w:val="000000"/>
          <w:sz w:val="23"/>
          <w:szCs w:val="23"/>
        </w:rPr>
      </w:pPr>
      <w:r>
        <w:rPr>
          <w:rFonts w:hint="eastAsia" w:ascii="宋体" w:hAnsi="宋体"/>
          <w:color w:val="000000"/>
          <w:sz w:val="23"/>
          <w:szCs w:val="23"/>
        </w:rPr>
        <w:t>商务响应表</w:t>
      </w:r>
    </w:p>
    <w:p>
      <w:pPr>
        <w:rPr>
          <w:color w:val="000000"/>
          <w:sz w:val="23"/>
          <w:szCs w:val="23"/>
        </w:rPr>
      </w:pP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bCs/>
                <w:color w:val="000000"/>
                <w:sz w:val="23"/>
                <w:szCs w:val="23"/>
              </w:rPr>
            </w:pPr>
            <w:r>
              <w:rPr>
                <w:rFonts w:hint="eastAsia" w:ascii="宋体" w:hAnsi="宋体"/>
                <w:bCs/>
                <w:color w:val="000000"/>
                <w:sz w:val="23"/>
                <w:szCs w:val="23"/>
              </w:rPr>
              <w:t>序号</w:t>
            </w:r>
          </w:p>
        </w:tc>
        <w:tc>
          <w:tcPr>
            <w:tcW w:w="1694" w:type="dxa"/>
            <w:vAlign w:val="center"/>
          </w:tcPr>
          <w:p>
            <w:pPr>
              <w:jc w:val="center"/>
              <w:rPr>
                <w:rFonts w:ascii="宋体" w:hAnsi="宋体"/>
                <w:bCs/>
                <w:color w:val="000000"/>
                <w:sz w:val="23"/>
                <w:szCs w:val="23"/>
              </w:rPr>
            </w:pPr>
            <w:r>
              <w:rPr>
                <w:rFonts w:hint="eastAsia" w:ascii="宋体" w:hAnsi="宋体"/>
                <w:bCs/>
                <w:color w:val="000000"/>
                <w:sz w:val="23"/>
                <w:szCs w:val="23"/>
              </w:rPr>
              <w:t>商务条款序号</w:t>
            </w:r>
          </w:p>
        </w:tc>
        <w:tc>
          <w:tcPr>
            <w:tcW w:w="2534" w:type="dxa"/>
            <w:vAlign w:val="center"/>
          </w:tcPr>
          <w:p>
            <w:pPr>
              <w:jc w:val="center"/>
              <w:rPr>
                <w:rFonts w:ascii="宋体" w:hAnsi="宋体"/>
                <w:bCs/>
                <w:color w:val="000000"/>
                <w:sz w:val="23"/>
                <w:szCs w:val="23"/>
              </w:rPr>
            </w:pPr>
            <w:r>
              <w:rPr>
                <w:rFonts w:hint="eastAsia" w:ascii="宋体" w:hAnsi="宋体"/>
                <w:bCs/>
                <w:color w:val="000000"/>
                <w:sz w:val="23"/>
                <w:szCs w:val="23"/>
              </w:rPr>
              <w:t>条款内容</w:t>
            </w:r>
          </w:p>
        </w:tc>
        <w:tc>
          <w:tcPr>
            <w:tcW w:w="1084" w:type="dxa"/>
            <w:vAlign w:val="center"/>
          </w:tcPr>
          <w:p>
            <w:pPr>
              <w:jc w:val="center"/>
              <w:rPr>
                <w:rFonts w:ascii="宋体" w:hAnsi="宋体"/>
                <w:bCs/>
                <w:color w:val="000000"/>
                <w:sz w:val="23"/>
                <w:szCs w:val="23"/>
              </w:rPr>
            </w:pPr>
            <w:r>
              <w:rPr>
                <w:rFonts w:hint="eastAsia" w:ascii="宋体" w:hAnsi="宋体"/>
                <w:bCs/>
                <w:color w:val="000000"/>
                <w:sz w:val="23"/>
                <w:szCs w:val="23"/>
              </w:rPr>
              <w:t>是否响应</w:t>
            </w:r>
          </w:p>
        </w:tc>
        <w:tc>
          <w:tcPr>
            <w:tcW w:w="2541" w:type="dxa"/>
            <w:vAlign w:val="center"/>
          </w:tcPr>
          <w:p>
            <w:pPr>
              <w:jc w:val="center"/>
              <w:rPr>
                <w:rFonts w:ascii="宋体" w:hAnsi="宋体"/>
                <w:bCs/>
                <w:color w:val="000000"/>
                <w:sz w:val="23"/>
                <w:szCs w:val="23"/>
              </w:rPr>
            </w:pPr>
            <w:r>
              <w:rPr>
                <w:rFonts w:hint="eastAsia" w:ascii="宋体" w:hAnsi="宋体"/>
                <w:bCs/>
                <w:color w:val="000000"/>
                <w:sz w:val="23"/>
                <w:szCs w:val="23"/>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1</w:t>
            </w:r>
          </w:p>
        </w:tc>
        <w:tc>
          <w:tcPr>
            <w:tcW w:w="1694" w:type="dxa"/>
            <w:vAlign w:val="center"/>
          </w:tcPr>
          <w:p>
            <w:pPr>
              <w:rPr>
                <w:rFonts w:ascii="宋体" w:hAnsi="宋体"/>
                <w:color w:val="000000"/>
                <w:sz w:val="23"/>
                <w:szCs w:val="23"/>
              </w:rPr>
            </w:pPr>
          </w:p>
        </w:tc>
        <w:tc>
          <w:tcPr>
            <w:tcW w:w="253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2</w:t>
            </w:r>
          </w:p>
        </w:tc>
        <w:tc>
          <w:tcPr>
            <w:tcW w:w="1694" w:type="dxa"/>
            <w:vAlign w:val="center"/>
          </w:tcPr>
          <w:p>
            <w:pPr>
              <w:rPr>
                <w:rFonts w:ascii="宋体" w:hAnsi="宋体"/>
                <w:color w:val="000000"/>
                <w:sz w:val="23"/>
                <w:szCs w:val="23"/>
              </w:rPr>
            </w:pPr>
          </w:p>
        </w:tc>
        <w:tc>
          <w:tcPr>
            <w:tcW w:w="253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color w:val="000000"/>
                <w:spacing w:val="0"/>
                <w:kern w:val="2"/>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3</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rPr>
                <w:rFonts w:ascii="宋体" w:hAnsi="宋体"/>
                <w:color w:val="000000"/>
                <w:sz w:val="23"/>
                <w:szCs w:val="23"/>
              </w:rPr>
            </w:pPr>
            <w:r>
              <w:rPr>
                <w:rFonts w:hint="eastAsia" w:ascii="宋体" w:hAnsi="宋体"/>
                <w:color w:val="000000"/>
                <w:sz w:val="23"/>
                <w:szCs w:val="23"/>
              </w:rPr>
              <w:t xml:space="preserve">  4</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5</w:t>
            </w:r>
          </w:p>
        </w:tc>
        <w:tc>
          <w:tcPr>
            <w:tcW w:w="1694" w:type="dxa"/>
            <w:vAlign w:val="center"/>
          </w:tcPr>
          <w:p>
            <w:pPr>
              <w:rPr>
                <w:rFonts w:ascii="宋体" w:hAnsi="宋体"/>
                <w:i/>
                <w:iCs/>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6</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ind w:right="-35"/>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7</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8</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9</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 w:val="23"/>
                <w:szCs w:val="23"/>
              </w:rPr>
            </w:pPr>
            <w:r>
              <w:rPr>
                <w:rFonts w:hint="eastAsia" w:ascii="宋体" w:hAnsi="宋体"/>
                <w:color w:val="000000"/>
                <w:sz w:val="23"/>
                <w:szCs w:val="23"/>
              </w:rPr>
              <w:t>10</w:t>
            </w:r>
          </w:p>
        </w:tc>
        <w:tc>
          <w:tcPr>
            <w:tcW w:w="1694" w:type="dxa"/>
            <w:vAlign w:val="center"/>
          </w:tcPr>
          <w:p>
            <w:pPr>
              <w:rPr>
                <w:rFonts w:ascii="宋体" w:hAnsi="宋体"/>
                <w:color w:val="000000"/>
                <w:sz w:val="23"/>
                <w:szCs w:val="23"/>
              </w:rPr>
            </w:pPr>
          </w:p>
        </w:tc>
        <w:tc>
          <w:tcPr>
            <w:tcW w:w="2534" w:type="dxa"/>
            <w:vAlign w:val="center"/>
          </w:tcPr>
          <w:p>
            <w:pPr>
              <w:jc w:val="center"/>
              <w:rPr>
                <w:rFonts w:ascii="宋体" w:hAnsi="宋体"/>
                <w:color w:val="000000"/>
                <w:sz w:val="23"/>
                <w:szCs w:val="23"/>
              </w:rPr>
            </w:pPr>
          </w:p>
        </w:tc>
        <w:tc>
          <w:tcPr>
            <w:tcW w:w="1084" w:type="dxa"/>
            <w:vAlign w:val="center"/>
          </w:tcPr>
          <w:p>
            <w:pPr>
              <w:jc w:val="center"/>
              <w:rPr>
                <w:rFonts w:ascii="宋体" w:hAnsi="宋体"/>
                <w:color w:val="000000"/>
                <w:sz w:val="23"/>
                <w:szCs w:val="23"/>
              </w:rPr>
            </w:pPr>
          </w:p>
        </w:tc>
        <w:tc>
          <w:tcPr>
            <w:tcW w:w="2541" w:type="dxa"/>
            <w:vAlign w:val="center"/>
          </w:tcPr>
          <w:p>
            <w:pPr>
              <w:jc w:val="cente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spacing w:line="0" w:lineRule="atLeast"/>
        <w:ind w:left="775" w:hanging="775" w:hangingChars="337"/>
        <w:rPr>
          <w:rFonts w:ascii="宋体" w:hAnsi="宋体"/>
          <w:color w:val="000000"/>
          <w:sz w:val="23"/>
          <w:szCs w:val="23"/>
        </w:rPr>
      </w:pPr>
      <w:r>
        <w:rPr>
          <w:rFonts w:hint="eastAsia" w:ascii="宋体" w:hAnsi="宋体"/>
          <w:color w:val="000000"/>
          <w:sz w:val="23"/>
          <w:szCs w:val="23"/>
        </w:rPr>
        <w:t>注：</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rPr>
        <w:t>1、投标人必须对应招标文件第二部分《项目内容及需求》中所投包组的“商务要求”等内容逐条响应。</w:t>
      </w:r>
    </w:p>
    <w:p>
      <w:pPr>
        <w:spacing w:line="0" w:lineRule="atLeast"/>
        <w:ind w:left="555" w:leftChars="100" w:hanging="345" w:hangingChars="150"/>
        <w:rPr>
          <w:rFonts w:ascii="宋体" w:hAnsi="宋体"/>
          <w:color w:val="000000"/>
          <w:sz w:val="23"/>
          <w:szCs w:val="23"/>
        </w:rPr>
      </w:pPr>
      <w:r>
        <w:rPr>
          <w:rFonts w:hint="eastAsia" w:ascii="宋体" w:hAnsi="宋体"/>
          <w:color w:val="000000"/>
          <w:sz w:val="23"/>
          <w:szCs w:val="23"/>
          <w:lang w:val="en-GB"/>
        </w:rPr>
        <w:t>2、</w:t>
      </w:r>
      <w:r>
        <w:rPr>
          <w:rFonts w:hint="eastAsia" w:ascii="宋体" w:hAnsi="宋体"/>
          <w:color w:val="000000"/>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color w:val="000000"/>
          <w:sz w:val="23"/>
          <w:szCs w:val="23"/>
          <w:lang w:val="en-GB"/>
        </w:rPr>
      </w:pPr>
      <w:r>
        <w:rPr>
          <w:rFonts w:hint="eastAsia" w:ascii="宋体" w:hAnsi="宋体"/>
          <w:color w:val="000000"/>
          <w:sz w:val="23"/>
          <w:szCs w:val="23"/>
        </w:rPr>
        <w:t>3、</w:t>
      </w:r>
      <w:r>
        <w:rPr>
          <w:rFonts w:hint="eastAsia" w:ascii="宋体" w:hAnsi="宋体"/>
          <w:color w:val="000000"/>
          <w:sz w:val="23"/>
          <w:szCs w:val="23"/>
          <w:lang w:val="en-GB"/>
        </w:rPr>
        <w:t>请在“偏离概述”栏内扼要说明偏离情况，如无偏离则不需列明。</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560" w:lineRule="exact"/>
        <w:rPr>
          <w:rFonts w:ascii="宋体" w:hAnsi="宋体"/>
          <w:color w:val="000000"/>
          <w:sz w:val="23"/>
          <w:szCs w:val="23"/>
        </w:rPr>
      </w:pPr>
    </w:p>
    <w:p>
      <w:pPr>
        <w:numPr>
          <w:ilvl w:val="0"/>
          <w:numId w:val="35"/>
        </w:numPr>
        <w:tabs>
          <w:tab w:val="left" w:pos="0"/>
        </w:tabs>
        <w:spacing w:line="560" w:lineRule="exact"/>
        <w:rPr>
          <w:rFonts w:ascii="宋体" w:hAnsi="宋体"/>
          <w:color w:val="000000"/>
          <w:sz w:val="23"/>
          <w:szCs w:val="23"/>
        </w:rPr>
      </w:pPr>
      <w:r>
        <w:rPr>
          <w:rFonts w:hint="eastAsia" w:ascii="宋体" w:hAnsi="宋体"/>
          <w:color w:val="000000"/>
          <w:sz w:val="23"/>
          <w:szCs w:val="23"/>
        </w:rPr>
        <w:t>详细的商务文件</w:t>
      </w:r>
    </w:p>
    <w:p>
      <w:pPr>
        <w:adjustRightInd w:val="0"/>
        <w:snapToGrid w:val="0"/>
        <w:rPr>
          <w:rFonts w:ascii="宋体" w:hAnsi="宋体"/>
          <w:color w:val="000000"/>
          <w:kern w:val="0"/>
          <w:sz w:val="23"/>
          <w:szCs w:val="23"/>
        </w:rPr>
      </w:pPr>
    </w:p>
    <w:p>
      <w:pPr>
        <w:spacing w:line="360" w:lineRule="auto"/>
        <w:ind w:firstLine="460" w:firstLineChars="200"/>
        <w:rPr>
          <w:rFonts w:ascii="宋体" w:hAnsi="宋体"/>
          <w:color w:val="000000"/>
          <w:sz w:val="23"/>
          <w:szCs w:val="23"/>
        </w:rPr>
      </w:pPr>
      <w:r>
        <w:rPr>
          <w:rFonts w:hint="eastAsia" w:ascii="宋体" w:hAnsi="宋体"/>
          <w:color w:val="000000"/>
          <w:sz w:val="23"/>
          <w:szCs w:val="23"/>
        </w:rPr>
        <w:t>投标人应对照《项目内容及需求》中的“商务要求”及《商务评分表》，逐一提供响应本项目的商务文件：</w:t>
      </w:r>
    </w:p>
    <w:p>
      <w:pPr>
        <w:numPr>
          <w:ilvl w:val="0"/>
          <w:numId w:val="36"/>
        </w:numPr>
        <w:tabs>
          <w:tab w:val="clear" w:pos="851"/>
        </w:tabs>
        <w:spacing w:line="360" w:lineRule="auto"/>
        <w:ind w:left="1276" w:hanging="850"/>
        <w:rPr>
          <w:sz w:val="23"/>
          <w:szCs w:val="23"/>
        </w:rPr>
      </w:pPr>
      <w:r>
        <w:rPr>
          <w:rFonts w:hint="eastAsia"/>
          <w:sz w:val="23"/>
          <w:szCs w:val="23"/>
        </w:rPr>
        <w:t>提供2016年1月1日以来（以合同签订时间为准）承接过高压设备维保项目业绩。</w:t>
      </w:r>
    </w:p>
    <w:p>
      <w:pPr>
        <w:numPr>
          <w:ilvl w:val="0"/>
          <w:numId w:val="36"/>
        </w:numPr>
        <w:tabs>
          <w:tab w:val="clear" w:pos="851"/>
        </w:tabs>
        <w:spacing w:line="360" w:lineRule="auto"/>
        <w:ind w:left="1276" w:hanging="850"/>
        <w:rPr>
          <w:rFonts w:ascii="宋体" w:hAnsi="宋体"/>
          <w:color w:val="000000"/>
          <w:sz w:val="23"/>
          <w:szCs w:val="23"/>
        </w:rPr>
      </w:pPr>
      <w:r>
        <w:rPr>
          <w:rFonts w:hint="eastAsia"/>
          <w:sz w:val="23"/>
          <w:szCs w:val="23"/>
        </w:rPr>
        <w:t>提供有效的质量管理体系认证；投标人2015年以来投标人获得工商行政主管部门颁发的“守合同重信用”荣誉称号。</w:t>
      </w:r>
    </w:p>
    <w:p>
      <w:pPr>
        <w:numPr>
          <w:ilvl w:val="0"/>
          <w:numId w:val="36"/>
        </w:numPr>
        <w:tabs>
          <w:tab w:val="clear" w:pos="851"/>
        </w:tabs>
        <w:spacing w:line="360" w:lineRule="auto"/>
        <w:ind w:left="1276" w:hanging="850"/>
        <w:rPr>
          <w:rFonts w:ascii="宋体" w:hAnsi="宋体"/>
          <w:color w:val="000000"/>
          <w:sz w:val="23"/>
          <w:szCs w:val="23"/>
        </w:rPr>
      </w:pPr>
      <w:r>
        <w:rPr>
          <w:rFonts w:hint="eastAsia" w:ascii="宋体" w:hAnsi="宋体"/>
          <w:color w:val="000000"/>
          <w:sz w:val="23"/>
          <w:szCs w:val="23"/>
        </w:rPr>
        <w:t>其他相关商务文件。</w:t>
      </w:r>
    </w:p>
    <w:p>
      <w:pPr>
        <w:topLinePunct/>
        <w:spacing w:after="180"/>
        <w:ind w:firstLine="1035" w:firstLineChars="450"/>
        <w:rPr>
          <w:rFonts w:ascii="宋体" w:hAnsi="宋体"/>
          <w:color w:val="000000"/>
          <w:sz w:val="23"/>
          <w:szCs w:val="23"/>
        </w:rPr>
      </w:pPr>
      <w:r>
        <w:rPr>
          <w:rFonts w:hint="eastAsia" w:ascii="宋体" w:hAnsi="宋体"/>
          <w:color w:val="000000"/>
          <w:sz w:val="23"/>
          <w:szCs w:val="23"/>
          <w:u w:val="single"/>
        </w:rPr>
        <w:t>注：以上所有文件均需加盖投标人公章</w:t>
      </w:r>
      <w:r>
        <w:rPr>
          <w:rFonts w:hint="eastAsia" w:ascii="宋体" w:hAnsi="宋体"/>
          <w:color w:val="000000"/>
          <w:sz w:val="23"/>
          <w:szCs w:val="23"/>
        </w:rPr>
        <w:t>。</w:t>
      </w:r>
    </w:p>
    <w:p>
      <w:pPr>
        <w:adjustRightInd w:val="0"/>
        <w:snapToGrid w:val="0"/>
        <w:ind w:left="420"/>
        <w:rPr>
          <w:rFonts w:ascii="宋体" w:hAnsi="宋体"/>
          <w:color w:val="000000"/>
          <w:sz w:val="23"/>
          <w:szCs w:val="23"/>
        </w:rPr>
      </w:pPr>
      <w:r>
        <w:rPr>
          <w:color w:val="000000"/>
          <w:sz w:val="23"/>
          <w:szCs w:val="23"/>
        </w:rPr>
        <w:br w:type="page"/>
      </w:r>
      <w:r>
        <w:rPr>
          <w:rFonts w:hint="eastAsia" w:ascii="宋体" w:hAnsi="宋体"/>
          <w:color w:val="000000"/>
          <w:sz w:val="23"/>
          <w:szCs w:val="23"/>
        </w:rPr>
        <w:t>附表2：业绩一览表</w:t>
      </w:r>
    </w:p>
    <w:p>
      <w:pPr>
        <w:widowControl/>
        <w:rPr>
          <w:rFonts w:ascii="宋体" w:hAnsi="宋体"/>
          <w:color w:val="000000"/>
          <w:sz w:val="23"/>
          <w:szCs w:val="23"/>
        </w:rPr>
      </w:pPr>
    </w:p>
    <w:tbl>
      <w:tblPr>
        <w:tblStyle w:val="41"/>
        <w:tblW w:w="8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270"/>
        <w:gridCol w:w="1798"/>
        <w:gridCol w:w="164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127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项目名称</w:t>
            </w:r>
          </w:p>
        </w:tc>
        <w:tc>
          <w:tcPr>
            <w:tcW w:w="1798"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合同金额</w:t>
            </w:r>
          </w:p>
        </w:tc>
        <w:tc>
          <w:tcPr>
            <w:tcW w:w="16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验收时间</w:t>
            </w:r>
          </w:p>
        </w:tc>
        <w:tc>
          <w:tcPr>
            <w:tcW w:w="251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1</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2</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hint="eastAsia" w:ascii="宋体" w:hAnsi="宋体"/>
                <w:color w:val="000000"/>
                <w:sz w:val="23"/>
                <w:szCs w:val="23"/>
              </w:rPr>
              <w:t>3</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r>
              <w:rPr>
                <w:rFonts w:ascii="宋体" w:hAnsi="宋体"/>
                <w:color w:val="000000"/>
                <w:sz w:val="23"/>
                <w:szCs w:val="23"/>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3"/>
                <w:szCs w:val="23"/>
              </w:rPr>
            </w:pPr>
          </w:p>
        </w:tc>
      </w:tr>
    </w:tbl>
    <w:p>
      <w:pPr>
        <w:spacing w:line="0" w:lineRule="atLeast"/>
        <w:ind w:left="775" w:hanging="775" w:hangingChars="337"/>
        <w:rPr>
          <w:rFonts w:ascii="宋体" w:hAnsi="宋体"/>
          <w:color w:val="000000"/>
          <w:sz w:val="23"/>
          <w:szCs w:val="23"/>
        </w:rPr>
      </w:pPr>
    </w:p>
    <w:p>
      <w:pPr>
        <w:ind w:left="465" w:hanging="464" w:hangingChars="202"/>
        <w:jc w:val="left"/>
        <w:rPr>
          <w:rFonts w:ascii="宋体" w:hAnsi="宋体"/>
          <w:color w:val="000000"/>
          <w:sz w:val="23"/>
          <w:szCs w:val="23"/>
        </w:rPr>
      </w:pPr>
      <w:r>
        <w:rPr>
          <w:rFonts w:hint="eastAsia" w:ascii="宋体" w:hAnsi="宋体"/>
          <w:color w:val="000000"/>
          <w:sz w:val="23"/>
          <w:szCs w:val="23"/>
        </w:rPr>
        <w:t>注: 每个业绩都必须同时提供以下加盖投标人公章的业绩证明材料，缺少任何一份材料都作为无效业绩处理：</w:t>
      </w:r>
    </w:p>
    <w:p>
      <w:pPr>
        <w:ind w:left="424" w:leftChars="202"/>
        <w:jc w:val="left"/>
        <w:rPr>
          <w:rFonts w:ascii="宋体" w:hAnsi="宋体"/>
          <w:color w:val="000000"/>
          <w:sz w:val="23"/>
          <w:szCs w:val="23"/>
        </w:rPr>
      </w:pPr>
      <w:r>
        <w:rPr>
          <w:rFonts w:hint="eastAsia" w:ascii="宋体" w:hAnsi="宋体"/>
          <w:color w:val="000000"/>
          <w:sz w:val="23"/>
          <w:szCs w:val="23"/>
        </w:rPr>
        <w:t>(1)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pPr>
        <w:ind w:left="424" w:leftChars="202"/>
        <w:jc w:val="left"/>
        <w:rPr>
          <w:rFonts w:ascii="宋体" w:hAnsi="宋体"/>
          <w:color w:val="000000"/>
          <w:sz w:val="23"/>
          <w:szCs w:val="23"/>
        </w:rPr>
      </w:pPr>
      <w:r>
        <w:rPr>
          <w:rFonts w:hint="eastAsia" w:ascii="宋体" w:hAnsi="宋体"/>
          <w:color w:val="000000"/>
          <w:sz w:val="23"/>
          <w:szCs w:val="23"/>
        </w:rPr>
        <w:t>(2)对应的验收报告复印件或用户证明原件（验收报告必须盖有用户单位或验收部门公章，无验收报告的，须提供用户单位或使用部门出具的且盖有其公章的完成用户证明原件）。</w:t>
      </w:r>
    </w:p>
    <w:p>
      <w:pPr>
        <w:spacing w:line="480" w:lineRule="exact"/>
        <w:ind w:left="4599" w:leftChars="219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0" w:lineRule="atLeast"/>
        <w:rPr>
          <w:rFonts w:ascii="宋体" w:hAnsi="宋体"/>
          <w:color w:val="000000"/>
          <w:sz w:val="23"/>
          <w:szCs w:val="23"/>
        </w:rPr>
      </w:pPr>
    </w:p>
    <w:p>
      <w:pPr>
        <w:outlineLvl w:val="0"/>
        <w:rPr>
          <w:rFonts w:ascii="宋体" w:hAnsi="宋体"/>
          <w:color w:val="000000"/>
          <w:sz w:val="23"/>
          <w:szCs w:val="23"/>
        </w:rPr>
      </w:pPr>
      <w:r>
        <w:rPr>
          <w:rFonts w:ascii="宋体" w:hAnsi="宋体"/>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85" w:name="_Toc295727243"/>
      <w:bookmarkStart w:id="86" w:name="_Toc5411"/>
      <w:r>
        <w:rPr>
          <w:rFonts w:hint="eastAsia" w:ascii="宋体" w:hAnsi="宋体"/>
          <w:b w:val="0"/>
          <w:color w:val="000000"/>
          <w:sz w:val="23"/>
          <w:szCs w:val="23"/>
        </w:rPr>
        <w:t>承诺书</w:t>
      </w:r>
      <w:bookmarkEnd w:id="85"/>
      <w:bookmarkEnd w:id="86"/>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87" w:name="_Toc295727244"/>
      <w:bookmarkStart w:id="88" w:name="_Toc24395"/>
      <w:r>
        <w:rPr>
          <w:rFonts w:hint="eastAsia" w:ascii="宋体" w:hAnsi="宋体"/>
          <w:b w:val="0"/>
          <w:color w:val="000000"/>
          <w:sz w:val="23"/>
          <w:szCs w:val="23"/>
        </w:rPr>
        <w:t>投标资格文件</w:t>
      </w:r>
      <w:bookmarkEnd w:id="87"/>
      <w:bookmarkEnd w:id="88"/>
    </w:p>
    <w:p>
      <w:pPr>
        <w:numPr>
          <w:ilvl w:val="0"/>
          <w:numId w:val="37"/>
        </w:numPr>
        <w:spacing w:line="560" w:lineRule="exact"/>
        <w:rPr>
          <w:rFonts w:ascii="宋体" w:hAnsi="宋体"/>
          <w:color w:val="000000"/>
          <w:sz w:val="23"/>
          <w:szCs w:val="23"/>
        </w:rPr>
      </w:pPr>
      <w:r>
        <w:rPr>
          <w:rFonts w:hint="eastAsia" w:ascii="宋体" w:hAnsi="宋体"/>
          <w:color w:val="000000"/>
          <w:sz w:val="23"/>
          <w:szCs w:val="23"/>
        </w:rPr>
        <w:t>关于资格文件的声明</w:t>
      </w:r>
    </w:p>
    <w:p>
      <w:pPr>
        <w:widowControl/>
        <w:rPr>
          <w:rFonts w:ascii="宋体" w:hAnsi="宋体"/>
          <w:color w:val="000000"/>
          <w:sz w:val="23"/>
          <w:szCs w:val="23"/>
        </w:rPr>
      </w:pPr>
    </w:p>
    <w:p>
      <w:pPr>
        <w:spacing w:line="420" w:lineRule="exact"/>
        <w:rPr>
          <w:rFonts w:ascii="宋体" w:hAnsi="宋体"/>
          <w:color w:val="000000"/>
          <w:sz w:val="23"/>
          <w:szCs w:val="23"/>
        </w:rPr>
      </w:pPr>
      <w:r>
        <w:rPr>
          <w:rFonts w:hint="eastAsia" w:ascii="宋体" w:hAnsi="宋体"/>
          <w:color w:val="000000"/>
          <w:sz w:val="23"/>
          <w:szCs w:val="23"/>
        </w:rPr>
        <w:t>致：</w:t>
      </w:r>
      <w:r>
        <w:rPr>
          <w:rFonts w:hint="eastAsia" w:ascii="宋体" w:hAnsi="宋体"/>
          <w:color w:val="000000"/>
          <w:sz w:val="23"/>
          <w:szCs w:val="23"/>
          <w:u w:val="single"/>
        </w:rPr>
        <w:t xml:space="preserve">  广东财经大学  </w:t>
      </w:r>
    </w:p>
    <w:p>
      <w:pPr>
        <w:spacing w:line="420" w:lineRule="exact"/>
        <w:ind w:firstLine="460" w:firstLineChars="200"/>
        <w:rPr>
          <w:rFonts w:ascii="宋体" w:hAnsi="宋体"/>
          <w:color w:val="000000"/>
          <w:sz w:val="23"/>
          <w:szCs w:val="23"/>
        </w:rPr>
      </w:pPr>
      <w:r>
        <w:rPr>
          <w:rFonts w:hint="eastAsia" w:ascii="宋体" w:hAnsi="宋体"/>
          <w:color w:val="000000"/>
          <w:sz w:val="23"/>
          <w:szCs w:val="23"/>
        </w:rPr>
        <w:t>本签字人愿意参</w:t>
      </w:r>
      <w:r>
        <w:rPr>
          <w:rFonts w:hint="eastAsia" w:ascii="宋体" w:hAnsi="宋体"/>
          <w:color w:val="000000"/>
          <w:sz w:val="23"/>
          <w:szCs w:val="23"/>
          <w:u w:val="single"/>
        </w:rPr>
        <w:t xml:space="preserve">        （填写采购项目名称）</w:t>
      </w:r>
      <w:r>
        <w:rPr>
          <w:rFonts w:hint="eastAsia" w:ascii="宋体" w:hAnsi="宋体"/>
          <w:color w:val="000000"/>
          <w:sz w:val="23"/>
          <w:szCs w:val="23"/>
        </w:rPr>
        <w:t>的投标，提供招标文件中规定的货物及服务，并承诺所递交的资格文件以及有关澄清、补充说明是准确的、真实的、有效的。</w:t>
      </w:r>
    </w:p>
    <w:p>
      <w:pPr>
        <w:spacing w:line="420" w:lineRule="exact"/>
        <w:ind w:firstLine="460" w:firstLineChars="200"/>
        <w:rPr>
          <w:rFonts w:ascii="宋体" w:hAnsi="宋体"/>
          <w:color w:val="000000"/>
          <w:sz w:val="23"/>
          <w:szCs w:val="23"/>
        </w:rPr>
      </w:pPr>
      <w:r>
        <w:rPr>
          <w:rFonts w:hint="eastAsia" w:ascii="宋体" w:hAnsi="宋体"/>
          <w:color w:val="000000"/>
          <w:sz w:val="23"/>
          <w:szCs w:val="23"/>
        </w:rPr>
        <w:t>特此声明。</w:t>
      </w:r>
    </w:p>
    <w:p>
      <w:pPr>
        <w:spacing w:line="420" w:lineRule="exact"/>
        <w:ind w:firstLine="460" w:firstLineChars="200"/>
        <w:rPr>
          <w:rFonts w:ascii="宋体" w:hAnsi="宋体"/>
          <w:color w:val="000000"/>
          <w:sz w:val="23"/>
          <w:szCs w:val="23"/>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r>
        <w:rPr>
          <w:color w:val="000000"/>
          <w:sz w:val="23"/>
          <w:szCs w:val="23"/>
        </w:rPr>
        <w:br w:type="page"/>
      </w:r>
    </w:p>
    <w:p>
      <w:pPr>
        <w:numPr>
          <w:ilvl w:val="0"/>
          <w:numId w:val="37"/>
        </w:numPr>
        <w:spacing w:line="560" w:lineRule="exact"/>
        <w:rPr>
          <w:rFonts w:ascii="宋体" w:hAnsi="宋体"/>
          <w:color w:val="000000"/>
          <w:sz w:val="23"/>
          <w:szCs w:val="23"/>
        </w:rPr>
      </w:pPr>
      <w:r>
        <w:rPr>
          <w:rFonts w:hint="eastAsia" w:ascii="宋体" w:hAnsi="宋体"/>
          <w:color w:val="000000"/>
          <w:sz w:val="23"/>
          <w:szCs w:val="23"/>
        </w:rPr>
        <w:t>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8"/>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8"/>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8"/>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numPr>
          <w:ilvl w:val="0"/>
          <w:numId w:val="37"/>
        </w:numPr>
        <w:spacing w:line="560" w:lineRule="exact"/>
        <w:rPr>
          <w:rFonts w:ascii="宋体" w:hAnsi="宋体"/>
          <w:color w:val="000000"/>
          <w:sz w:val="23"/>
          <w:szCs w:val="23"/>
        </w:rPr>
      </w:pPr>
      <w:r>
        <w:rPr>
          <w:rFonts w:hint="eastAsia" w:ascii="宋体" w:hAnsi="宋体"/>
          <w:color w:val="000000"/>
          <w:sz w:val="23"/>
          <w:szCs w:val="23"/>
        </w:rPr>
        <w:t>法定代表人证明书</w:t>
      </w:r>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w:t>
      </w:r>
      <w:r>
        <w:rPr>
          <w:rFonts w:hint="eastAsia"/>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numPr>
          <w:ilvl w:val="0"/>
          <w:numId w:val="37"/>
        </w:numPr>
        <w:spacing w:line="560" w:lineRule="exact"/>
        <w:rPr>
          <w:rFonts w:ascii="宋体" w:hAnsi="宋体"/>
          <w:color w:val="000000"/>
          <w:kern w:val="0"/>
          <w:sz w:val="23"/>
          <w:szCs w:val="23"/>
        </w:rPr>
      </w:pPr>
      <w:r>
        <w:rPr>
          <w:rFonts w:hint="eastAsia" w:ascii="宋体" w:hAnsi="宋体"/>
          <w:color w:val="000000"/>
          <w:sz w:val="23"/>
          <w:szCs w:val="23"/>
        </w:rPr>
        <w:t>授权委托书</w:t>
      </w:r>
    </w:p>
    <w:p>
      <w:pPr>
        <w:adjustRightInd w:val="0"/>
        <w:snapToGrid w:val="0"/>
        <w:rPr>
          <w:rFonts w:ascii="宋体" w:hAnsi="宋体"/>
          <w:color w:val="000000"/>
          <w:kern w:val="0"/>
          <w:sz w:val="23"/>
          <w:szCs w:val="23"/>
        </w:rPr>
      </w:pPr>
    </w:p>
    <w:p>
      <w:pPr>
        <w:pStyle w:val="22"/>
        <w:spacing w:line="500" w:lineRule="exact"/>
        <w:rPr>
          <w:rFonts w:hAnsi="宋体"/>
          <w:color w:val="000000"/>
          <w:sz w:val="23"/>
          <w:szCs w:val="23"/>
        </w:rPr>
      </w:pPr>
      <w:r>
        <w:rPr>
          <w:rFonts w:hint="eastAsia" w:hAnsi="宋体"/>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89"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89"/>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，必须有法定代表人和代理人的</w:t>
      </w:r>
      <w:r>
        <w:rPr>
          <w:rFonts w:hint="eastAsia"/>
          <w:color w:val="000000"/>
          <w:sz w:val="23"/>
          <w:szCs w:val="23"/>
          <w:u w:val="single"/>
        </w:rPr>
        <w:t>亲笔签名</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3"/>
        <w:numPr>
          <w:ilvl w:val="0"/>
          <w:numId w:val="32"/>
        </w:numPr>
        <w:tabs>
          <w:tab w:val="left" w:pos="0"/>
        </w:tabs>
        <w:spacing w:before="0" w:after="0" w:line="400" w:lineRule="exact"/>
        <w:rPr>
          <w:rFonts w:ascii="宋体" w:hAnsi="宋体"/>
          <w:b w:val="0"/>
          <w:color w:val="000000"/>
          <w:sz w:val="23"/>
          <w:szCs w:val="23"/>
        </w:rPr>
      </w:pPr>
      <w:bookmarkStart w:id="90" w:name="_Toc295727245"/>
      <w:bookmarkStart w:id="91" w:name="_Toc12462"/>
      <w:r>
        <w:rPr>
          <w:rFonts w:hint="eastAsia" w:ascii="宋体" w:hAnsi="宋体"/>
          <w:b w:val="0"/>
          <w:color w:val="000000"/>
          <w:sz w:val="23"/>
          <w:szCs w:val="23"/>
        </w:rPr>
        <w:t>投标文件自查清单（仅供提示）</w:t>
      </w:r>
      <w:bookmarkEnd w:id="90"/>
      <w:bookmarkEnd w:id="91"/>
    </w:p>
    <w:p>
      <w:pPr>
        <w:rPr>
          <w:color w:val="000000"/>
          <w:sz w:val="23"/>
          <w:szCs w:val="23"/>
        </w:rPr>
      </w:pPr>
    </w:p>
    <w:p>
      <w:pPr>
        <w:rPr>
          <w:rFonts w:ascii="宋体" w:hAnsi="宋体"/>
          <w:color w:val="000000"/>
          <w:sz w:val="23"/>
          <w:szCs w:val="23"/>
        </w:rPr>
      </w:pPr>
      <w:r>
        <w:rPr>
          <w:rFonts w:hint="eastAsia" w:ascii="宋体" w:hAnsi="宋体"/>
          <w:color w:val="000000"/>
          <w:sz w:val="23"/>
          <w:szCs w:val="23"/>
        </w:rPr>
        <w:t xml:space="preserve">    投标人应自行检查投标文件的编制、装订、签署等情况，确保所递交的投标文件资料满足招标文件要求，避免投标文件无效。</w:t>
      </w:r>
    </w:p>
    <w:p>
      <w:pPr>
        <w:rPr>
          <w:color w:val="000000"/>
          <w:sz w:val="23"/>
          <w:szCs w:val="23"/>
        </w:rPr>
      </w:pPr>
    </w:p>
    <w:p>
      <w:pPr>
        <w:numPr>
          <w:ilvl w:val="0"/>
          <w:numId w:val="39"/>
        </w:numPr>
        <w:rPr>
          <w:rFonts w:ascii="宋体" w:hAnsi="宋体"/>
          <w:color w:val="000000"/>
          <w:sz w:val="23"/>
          <w:szCs w:val="23"/>
        </w:rPr>
      </w:pPr>
      <w:r>
        <w:rPr>
          <w:rFonts w:hint="eastAsia" w:ascii="宋体" w:hAnsi="宋体"/>
          <w:color w:val="000000"/>
          <w:sz w:val="23"/>
          <w:szCs w:val="23"/>
        </w:rPr>
        <w:t>资格性资料</w:t>
      </w:r>
    </w:p>
    <w:p>
      <w:pPr>
        <w:rPr>
          <w:rFonts w:ascii="宋体" w:hAnsi="宋体"/>
          <w:color w:val="000000"/>
          <w:sz w:val="23"/>
          <w:szCs w:val="23"/>
        </w:rPr>
      </w:pPr>
      <w:r>
        <w:rPr>
          <w:rFonts w:hint="eastAsia" w:ascii="宋体" w:hAnsi="宋体"/>
          <w:color w:val="000000"/>
          <w:sz w:val="23"/>
          <w:szCs w:val="23"/>
        </w:rPr>
        <w:t>对照《资格性审查表》逐项核对应提交资格证明文件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供应商资格要求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提交的证明文件</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p>
    <w:p>
      <w:pPr>
        <w:numPr>
          <w:ilvl w:val="0"/>
          <w:numId w:val="39"/>
        </w:numPr>
        <w:rPr>
          <w:rFonts w:ascii="宋体" w:hAnsi="宋体"/>
          <w:color w:val="000000"/>
          <w:sz w:val="23"/>
          <w:szCs w:val="23"/>
        </w:rPr>
      </w:pPr>
      <w:r>
        <w:rPr>
          <w:rFonts w:hint="eastAsia" w:ascii="宋体" w:hAnsi="宋体"/>
          <w:color w:val="000000"/>
          <w:sz w:val="23"/>
          <w:szCs w:val="23"/>
        </w:rPr>
        <w:t>《项目内容及需求》响应资料</w:t>
      </w:r>
    </w:p>
    <w:p>
      <w:pPr>
        <w:rPr>
          <w:rFonts w:ascii="宋体" w:hAnsi="宋体"/>
          <w:color w:val="000000"/>
          <w:sz w:val="23"/>
          <w:szCs w:val="23"/>
        </w:rPr>
      </w:pPr>
      <w:r>
        <w:rPr>
          <w:rFonts w:hint="eastAsia" w:ascii="宋体" w:hAnsi="宋体"/>
          <w:color w:val="000000"/>
          <w:sz w:val="23"/>
          <w:szCs w:val="23"/>
        </w:rPr>
        <w:t>对照项目需求书要求逐项核对应提交的资料</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用户需求书要求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提交的资料</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p>
    <w:p>
      <w:pPr>
        <w:numPr>
          <w:ilvl w:val="0"/>
          <w:numId w:val="39"/>
        </w:numPr>
        <w:rPr>
          <w:rFonts w:ascii="宋体" w:hAnsi="宋体"/>
          <w:color w:val="000000"/>
          <w:sz w:val="23"/>
          <w:szCs w:val="23"/>
        </w:rPr>
      </w:pPr>
      <w:r>
        <w:rPr>
          <w:rFonts w:hint="eastAsia" w:ascii="宋体" w:hAnsi="宋体"/>
          <w:color w:val="000000"/>
          <w:sz w:val="23"/>
          <w:szCs w:val="23"/>
        </w:rPr>
        <w:t>技术评审表和商务评审表中供评审的证明文件</w:t>
      </w:r>
    </w:p>
    <w:p>
      <w:pPr>
        <w:rPr>
          <w:rFonts w:ascii="宋体" w:hAnsi="宋体"/>
          <w:color w:val="000000"/>
          <w:sz w:val="23"/>
          <w:szCs w:val="23"/>
        </w:rPr>
      </w:pPr>
      <w:r>
        <w:rPr>
          <w:rFonts w:hint="eastAsia" w:ascii="宋体" w:hAnsi="宋体"/>
          <w:color w:val="000000"/>
          <w:sz w:val="23"/>
          <w:szCs w:val="23"/>
        </w:rPr>
        <w:t>对照技术和商务评分表中的评审要求逐项核对应提交的证明文件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3060"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技术和商务评审要求</w:t>
            </w:r>
          </w:p>
        </w:tc>
        <w:tc>
          <w:tcPr>
            <w:tcW w:w="2683"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提交的证明文件</w:t>
            </w:r>
          </w:p>
        </w:tc>
        <w:tc>
          <w:tcPr>
            <w:tcW w:w="2537"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color w:val="000000"/>
                <w:sz w:val="23"/>
                <w:szCs w:val="23"/>
              </w:rPr>
            </w:pPr>
          </w:p>
        </w:tc>
        <w:tc>
          <w:tcPr>
            <w:tcW w:w="3060" w:type="dxa"/>
          </w:tcPr>
          <w:p>
            <w:pPr>
              <w:rPr>
                <w:rFonts w:ascii="宋体" w:hAnsi="宋体"/>
                <w:color w:val="000000"/>
                <w:sz w:val="23"/>
                <w:szCs w:val="23"/>
              </w:rPr>
            </w:pPr>
          </w:p>
        </w:tc>
        <w:tc>
          <w:tcPr>
            <w:tcW w:w="2683" w:type="dxa"/>
          </w:tcPr>
          <w:p>
            <w:pPr>
              <w:rPr>
                <w:rFonts w:ascii="宋体" w:hAnsi="宋体"/>
                <w:color w:val="000000"/>
                <w:sz w:val="23"/>
                <w:szCs w:val="23"/>
              </w:rPr>
            </w:pPr>
          </w:p>
        </w:tc>
        <w:tc>
          <w:tcPr>
            <w:tcW w:w="2537" w:type="dxa"/>
          </w:tcPr>
          <w:p>
            <w:pPr>
              <w:rPr>
                <w:rFonts w:ascii="宋体" w:hAnsi="宋体"/>
                <w:color w:val="000000"/>
                <w:sz w:val="23"/>
                <w:szCs w:val="23"/>
              </w:rPr>
            </w:pPr>
          </w:p>
        </w:tc>
      </w:tr>
    </w:tbl>
    <w:p>
      <w:pPr>
        <w:rPr>
          <w:rFonts w:ascii="宋体" w:hAnsi="宋体"/>
          <w:color w:val="000000"/>
          <w:sz w:val="23"/>
          <w:szCs w:val="23"/>
        </w:rPr>
      </w:pPr>
      <w:r>
        <w:rPr>
          <w:rFonts w:hint="eastAsia" w:ascii="宋体" w:hAnsi="宋体"/>
          <w:color w:val="000000"/>
          <w:sz w:val="23"/>
          <w:szCs w:val="23"/>
        </w:rPr>
        <w:t>注：投标人应根据投标文件中的资料提交情况如实制作本清单，并对本清单的准确性负责。</w:t>
      </w:r>
    </w:p>
    <w:p>
      <w:pPr>
        <w:rPr>
          <w:color w:val="000000"/>
          <w:sz w:val="23"/>
          <w:szCs w:val="23"/>
        </w:rPr>
      </w:pPr>
    </w:p>
    <w:p>
      <w:pPr>
        <w:rPr>
          <w:sz w:val="23"/>
          <w:szCs w:val="23"/>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17</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92" w:name="OLE_LINK15"/>
    <w:bookmarkEnd w:id="92"/>
    <w:bookmarkStart w:id="93" w:name="OLE_LINK14"/>
    <w:bookmarkEnd w:id="93"/>
    <w:bookmarkStart w:id="94" w:name="_Hlk303930787"/>
    <w:bookmarkEnd w:id="9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7E612CA"/>
    <w:multiLevelType w:val="multilevel"/>
    <w:tmpl w:val="17E612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516571"/>
    <w:multiLevelType w:val="multilevel"/>
    <w:tmpl w:val="24516571"/>
    <w:lvl w:ilvl="0" w:tentative="0">
      <w:start w:val="1"/>
      <w:numFmt w:val="decimal"/>
      <w:lvlText w:val="4.1.%1"/>
      <w:lvlJc w:val="left"/>
      <w:pPr>
        <w:tabs>
          <w:tab w:val="left" w:pos="0"/>
        </w:tabs>
        <w:ind w:left="680" w:hanging="6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4">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FD63BAC"/>
    <w:multiLevelType w:val="multilevel"/>
    <w:tmpl w:val="3FD63BAC"/>
    <w:lvl w:ilvl="0" w:tentative="0">
      <w:start w:val="1"/>
      <w:numFmt w:val="decimal"/>
      <w:lvlText w:val="6.6.%1"/>
      <w:lvlJc w:val="left"/>
      <w:pPr>
        <w:tabs>
          <w:tab w:val="left" w:pos="0"/>
        </w:tabs>
        <w:ind w:left="-720" w:firstLine="720"/>
      </w:pPr>
      <w:rPr>
        <w:rFonts w:hint="eastAsia" w:ascii="宋体" w:hAnsi="宋体" w:eastAsia="宋体"/>
        <w:b/>
        <w:i w:val="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9">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9">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9"/>
  </w:num>
  <w:num w:numId="2">
    <w:abstractNumId w:val="1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0"/>
  </w:num>
  <w:num w:numId="8">
    <w:abstractNumId w:val="23"/>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0"/>
  </w:num>
  <w:num w:numId="15">
    <w:abstractNumId w:val="17"/>
  </w:num>
  <w:num w:numId="16">
    <w:abstractNumId w:val="33"/>
  </w:num>
  <w:num w:numId="17">
    <w:abstractNumId w:val="24"/>
  </w:num>
  <w:num w:numId="18">
    <w:abstractNumId w:val="26"/>
  </w:num>
  <w:num w:numId="19">
    <w:abstractNumId w:val="3"/>
  </w:num>
  <w:num w:numId="20">
    <w:abstractNumId w:val="22"/>
  </w:num>
  <w:num w:numId="21">
    <w:abstractNumId w:val="2"/>
  </w:num>
  <w:num w:numId="22">
    <w:abstractNumId w:val="32"/>
  </w:num>
  <w:num w:numId="23">
    <w:abstractNumId w:val="19"/>
  </w:num>
  <w:num w:numId="24">
    <w:abstractNumId w:val="27"/>
  </w:num>
  <w:num w:numId="25">
    <w:abstractNumId w:val="7"/>
  </w:num>
  <w:num w:numId="26">
    <w:abstractNumId w:val="4"/>
  </w:num>
  <w:num w:numId="27">
    <w:abstractNumId w:val="30"/>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33F19"/>
    <w:rsid w:val="00044344"/>
    <w:rsid w:val="00065537"/>
    <w:rsid w:val="00077147"/>
    <w:rsid w:val="00097969"/>
    <w:rsid w:val="000A09B0"/>
    <w:rsid w:val="000B14EB"/>
    <w:rsid w:val="000D2204"/>
    <w:rsid w:val="000E1F35"/>
    <w:rsid w:val="000E7DB2"/>
    <w:rsid w:val="00136DE6"/>
    <w:rsid w:val="00141B66"/>
    <w:rsid w:val="001529E6"/>
    <w:rsid w:val="00163B42"/>
    <w:rsid w:val="00167DC8"/>
    <w:rsid w:val="00183EB6"/>
    <w:rsid w:val="00184737"/>
    <w:rsid w:val="00184EC2"/>
    <w:rsid w:val="00184FD5"/>
    <w:rsid w:val="0019218B"/>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96953"/>
    <w:rsid w:val="002E613C"/>
    <w:rsid w:val="00315407"/>
    <w:rsid w:val="00326E7F"/>
    <w:rsid w:val="00331E4C"/>
    <w:rsid w:val="003465F5"/>
    <w:rsid w:val="003469A9"/>
    <w:rsid w:val="00361B01"/>
    <w:rsid w:val="003634EF"/>
    <w:rsid w:val="00364374"/>
    <w:rsid w:val="003707DD"/>
    <w:rsid w:val="00385088"/>
    <w:rsid w:val="00395504"/>
    <w:rsid w:val="003A2FFD"/>
    <w:rsid w:val="003A6294"/>
    <w:rsid w:val="003D320B"/>
    <w:rsid w:val="003D7957"/>
    <w:rsid w:val="003E2E90"/>
    <w:rsid w:val="003E398F"/>
    <w:rsid w:val="003F03D8"/>
    <w:rsid w:val="00401F20"/>
    <w:rsid w:val="0041281A"/>
    <w:rsid w:val="00415E19"/>
    <w:rsid w:val="00422EE8"/>
    <w:rsid w:val="00423DD4"/>
    <w:rsid w:val="0045674E"/>
    <w:rsid w:val="00460A53"/>
    <w:rsid w:val="00474DC6"/>
    <w:rsid w:val="0047683E"/>
    <w:rsid w:val="00481ED0"/>
    <w:rsid w:val="004B4B10"/>
    <w:rsid w:val="004D31D4"/>
    <w:rsid w:val="004D3E52"/>
    <w:rsid w:val="004D7CF8"/>
    <w:rsid w:val="004F0197"/>
    <w:rsid w:val="004F1F17"/>
    <w:rsid w:val="004F4D90"/>
    <w:rsid w:val="00500E9B"/>
    <w:rsid w:val="005068A2"/>
    <w:rsid w:val="005119C5"/>
    <w:rsid w:val="00521428"/>
    <w:rsid w:val="00521C8E"/>
    <w:rsid w:val="00523262"/>
    <w:rsid w:val="0052636C"/>
    <w:rsid w:val="00533D66"/>
    <w:rsid w:val="00562DF4"/>
    <w:rsid w:val="00563179"/>
    <w:rsid w:val="0057016F"/>
    <w:rsid w:val="00590064"/>
    <w:rsid w:val="00591AB6"/>
    <w:rsid w:val="005B0D41"/>
    <w:rsid w:val="005B29E8"/>
    <w:rsid w:val="005B422F"/>
    <w:rsid w:val="005D0B12"/>
    <w:rsid w:val="00603574"/>
    <w:rsid w:val="00613A10"/>
    <w:rsid w:val="00622680"/>
    <w:rsid w:val="006444BB"/>
    <w:rsid w:val="00645533"/>
    <w:rsid w:val="006510FF"/>
    <w:rsid w:val="0065227A"/>
    <w:rsid w:val="00656A9A"/>
    <w:rsid w:val="006609D1"/>
    <w:rsid w:val="00664B67"/>
    <w:rsid w:val="006729C2"/>
    <w:rsid w:val="006824C8"/>
    <w:rsid w:val="00682729"/>
    <w:rsid w:val="00684AB0"/>
    <w:rsid w:val="00694461"/>
    <w:rsid w:val="006A0618"/>
    <w:rsid w:val="006A10F9"/>
    <w:rsid w:val="006A3965"/>
    <w:rsid w:val="006B37B8"/>
    <w:rsid w:val="006C3035"/>
    <w:rsid w:val="006C48FC"/>
    <w:rsid w:val="006C73CD"/>
    <w:rsid w:val="006C77DC"/>
    <w:rsid w:val="006D611F"/>
    <w:rsid w:val="006E19D5"/>
    <w:rsid w:val="006F104E"/>
    <w:rsid w:val="0070003C"/>
    <w:rsid w:val="00713411"/>
    <w:rsid w:val="00717187"/>
    <w:rsid w:val="00724404"/>
    <w:rsid w:val="007314E4"/>
    <w:rsid w:val="00760705"/>
    <w:rsid w:val="00772082"/>
    <w:rsid w:val="00777BE7"/>
    <w:rsid w:val="007A31DD"/>
    <w:rsid w:val="007A5E84"/>
    <w:rsid w:val="007A64FF"/>
    <w:rsid w:val="007B611A"/>
    <w:rsid w:val="007C047E"/>
    <w:rsid w:val="007D1979"/>
    <w:rsid w:val="007E2190"/>
    <w:rsid w:val="007F654C"/>
    <w:rsid w:val="007F7A06"/>
    <w:rsid w:val="008125EE"/>
    <w:rsid w:val="008220CA"/>
    <w:rsid w:val="00827E1A"/>
    <w:rsid w:val="00832A09"/>
    <w:rsid w:val="00836CAB"/>
    <w:rsid w:val="008409A2"/>
    <w:rsid w:val="008528DD"/>
    <w:rsid w:val="00860CAD"/>
    <w:rsid w:val="00861AAD"/>
    <w:rsid w:val="00862962"/>
    <w:rsid w:val="008632A8"/>
    <w:rsid w:val="00863E06"/>
    <w:rsid w:val="008848DB"/>
    <w:rsid w:val="00884D7D"/>
    <w:rsid w:val="00884EF3"/>
    <w:rsid w:val="00890EF0"/>
    <w:rsid w:val="00896A0E"/>
    <w:rsid w:val="008A50C4"/>
    <w:rsid w:val="008A6AC4"/>
    <w:rsid w:val="008C0C2B"/>
    <w:rsid w:val="008D1414"/>
    <w:rsid w:val="008D296C"/>
    <w:rsid w:val="008D3E4C"/>
    <w:rsid w:val="008E0084"/>
    <w:rsid w:val="00913497"/>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02AE"/>
    <w:rsid w:val="00AC3785"/>
    <w:rsid w:val="00AC5E5C"/>
    <w:rsid w:val="00AD12D0"/>
    <w:rsid w:val="00AD3407"/>
    <w:rsid w:val="00AF577D"/>
    <w:rsid w:val="00B11FE1"/>
    <w:rsid w:val="00B1312F"/>
    <w:rsid w:val="00B25DE6"/>
    <w:rsid w:val="00B26C16"/>
    <w:rsid w:val="00B3665E"/>
    <w:rsid w:val="00B426E2"/>
    <w:rsid w:val="00B521E2"/>
    <w:rsid w:val="00B52EC3"/>
    <w:rsid w:val="00B73E8F"/>
    <w:rsid w:val="00B75F34"/>
    <w:rsid w:val="00B761FB"/>
    <w:rsid w:val="00BB066A"/>
    <w:rsid w:val="00BC0573"/>
    <w:rsid w:val="00BC253C"/>
    <w:rsid w:val="00BC5508"/>
    <w:rsid w:val="00BC762D"/>
    <w:rsid w:val="00BE11AA"/>
    <w:rsid w:val="00BE1907"/>
    <w:rsid w:val="00BE2504"/>
    <w:rsid w:val="00BF4C77"/>
    <w:rsid w:val="00C0458A"/>
    <w:rsid w:val="00C14DBB"/>
    <w:rsid w:val="00C20D53"/>
    <w:rsid w:val="00C34D6C"/>
    <w:rsid w:val="00C36E2D"/>
    <w:rsid w:val="00C6464F"/>
    <w:rsid w:val="00C72AEF"/>
    <w:rsid w:val="00C91322"/>
    <w:rsid w:val="00CA1018"/>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E07FFD"/>
    <w:rsid w:val="00E1687D"/>
    <w:rsid w:val="00E3420A"/>
    <w:rsid w:val="00E35E83"/>
    <w:rsid w:val="00E43EDB"/>
    <w:rsid w:val="00E44404"/>
    <w:rsid w:val="00E451E5"/>
    <w:rsid w:val="00E54F35"/>
    <w:rsid w:val="00E62079"/>
    <w:rsid w:val="00E674CE"/>
    <w:rsid w:val="00E72172"/>
    <w:rsid w:val="00E7222B"/>
    <w:rsid w:val="00E87247"/>
    <w:rsid w:val="00E95A19"/>
    <w:rsid w:val="00E96411"/>
    <w:rsid w:val="00EA72EE"/>
    <w:rsid w:val="00EB4472"/>
    <w:rsid w:val="00EC0139"/>
    <w:rsid w:val="00EC5143"/>
    <w:rsid w:val="00EC5293"/>
    <w:rsid w:val="00EE2286"/>
    <w:rsid w:val="00EF01C8"/>
    <w:rsid w:val="00F04B4C"/>
    <w:rsid w:val="00F07F8D"/>
    <w:rsid w:val="00F13750"/>
    <w:rsid w:val="00F13B71"/>
    <w:rsid w:val="00F17966"/>
    <w:rsid w:val="00F20A71"/>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6CE6037"/>
    <w:rsid w:val="06ED4C8A"/>
    <w:rsid w:val="07402BF3"/>
    <w:rsid w:val="0C10126D"/>
    <w:rsid w:val="0CEA3DD7"/>
    <w:rsid w:val="0E374ADB"/>
    <w:rsid w:val="10034A31"/>
    <w:rsid w:val="125B5A1E"/>
    <w:rsid w:val="1920603D"/>
    <w:rsid w:val="19FD25D0"/>
    <w:rsid w:val="1FB50C58"/>
    <w:rsid w:val="227B7559"/>
    <w:rsid w:val="23F82917"/>
    <w:rsid w:val="24BD67EB"/>
    <w:rsid w:val="29FF63B1"/>
    <w:rsid w:val="2D1812EA"/>
    <w:rsid w:val="2DD7361B"/>
    <w:rsid w:val="34B26D5D"/>
    <w:rsid w:val="3C6F5F56"/>
    <w:rsid w:val="3F4003A2"/>
    <w:rsid w:val="3FA66950"/>
    <w:rsid w:val="415361AE"/>
    <w:rsid w:val="469D49BC"/>
    <w:rsid w:val="4D8D08FA"/>
    <w:rsid w:val="5C774BC4"/>
    <w:rsid w:val="620E6E54"/>
    <w:rsid w:val="69301121"/>
    <w:rsid w:val="6D0B2AE9"/>
    <w:rsid w:val="6E491617"/>
    <w:rsid w:val="70D00927"/>
    <w:rsid w:val="73EA0FA4"/>
    <w:rsid w:val="7553552C"/>
    <w:rsid w:val="7A93180A"/>
    <w:rsid w:val="7B4E3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qFormat/>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rFonts w:ascii="Times New Roman" w:hAnsi="Times New Roman" w:eastAsia="宋体" w:cs="Times New Roman"/>
      <w:b/>
      <w:bCs/>
      <w:szCs w:val="24"/>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qFormat/>
    <w:uiPriority w:val="0"/>
    <w:rPr>
      <w:rFonts w:ascii="Times New Roman" w:hAnsi="Times New Roman" w:eastAsia="宋体" w:cs="Times New Roman"/>
      <w:sz w:val="18"/>
      <w:szCs w:val="18"/>
    </w:rPr>
  </w:style>
  <w:style w:type="character" w:customStyle="1" w:styleId="80">
    <w:name w:val="脚注文本 Char1"/>
    <w:basedOn w:val="42"/>
    <w:link w:val="33"/>
    <w:semiHidden/>
    <w:qFormat/>
    <w:uiPriority w:val="99"/>
    <w:rPr>
      <w:rFonts w:ascii="Times New Roman" w:hAnsi="Times New Roman" w:eastAsia="宋体" w:cs="Times New Roman"/>
      <w:sz w:val="18"/>
      <w:szCs w:val="18"/>
    </w:rPr>
  </w:style>
  <w:style w:type="character" w:customStyle="1" w:styleId="81">
    <w:name w:val="日期 Char"/>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qFormat/>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qFormat/>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qFormat/>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FC8DF-2708-4A6B-A938-BF24AE021C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2803</Words>
  <Characters>15981</Characters>
  <Lines>133</Lines>
  <Paragraphs>37</Paragraphs>
  <TotalTime>56</TotalTime>
  <ScaleCrop>false</ScaleCrop>
  <LinksUpToDate>false</LinksUpToDate>
  <CharactersWithSpaces>18747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2019-12-17T01:46:00Z</dcterms:created>
  <dc:creator>A</dc:creator>
  <cp:lastModifiedBy>Administrator</cp:lastModifiedBy>
  <cp:lastPrinted>2019-12-17T01:59:00Z</cp:lastPrinted>
  <dcterms:modified xsi:type="dcterms:W3CDTF">2025-04-27T01:31:03Z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