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方正小标宋简体" w:hAnsi="方正小标宋简体" w:eastAsia="方正小标宋简体" w:cs="方正小标宋简体"/>
          <w:b/>
          <w:sz w:val="72"/>
          <w:szCs w:val="72"/>
        </w:rPr>
      </w:pPr>
    </w:p>
    <w:p>
      <w:pPr>
        <w:adjustRightInd w:val="0"/>
        <w:snapToGrid w:val="0"/>
        <w:spacing w:line="760" w:lineRule="exact"/>
        <w:jc w:val="center"/>
        <w:rPr>
          <w:rFonts w:ascii="方正小标宋简体" w:hAnsi="方正小标宋简体" w:eastAsia="方正小标宋简体" w:cs="方正小标宋简体"/>
          <w:b/>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rPr>
        <w:t>广东财经大学佛山校区</w:t>
      </w:r>
      <w:r>
        <w:rPr>
          <w:rFonts w:hint="eastAsia" w:ascii="宋体" w:hAnsi="宋体" w:eastAsia="宋体" w:cs="宋体"/>
          <w:b/>
          <w:sz w:val="52"/>
          <w:szCs w:val="52"/>
          <w:lang w:val="en-US" w:eastAsia="zh-CN"/>
        </w:rPr>
        <w:t>第三食堂公开引进特色餐饮项目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44"/>
        </w:rPr>
      </w:pPr>
    </w:p>
    <w:p>
      <w:pPr>
        <w:adjustRightInd w:val="0"/>
        <w:snapToGrid w:val="0"/>
        <w:spacing w:line="300" w:lineRule="auto"/>
        <w:jc w:val="center"/>
        <w:rPr>
          <w:rFonts w:ascii="宋体" w:cs="宋体"/>
          <w:b/>
          <w:sz w:val="52"/>
          <w:szCs w:val="52"/>
        </w:rPr>
      </w:pPr>
    </w:p>
    <w:p>
      <w:pPr>
        <w:adjustRightInd w:val="0"/>
        <w:snapToGrid w:val="0"/>
        <w:spacing w:line="300" w:lineRule="auto"/>
        <w:jc w:val="center"/>
        <w:rPr>
          <w:rFonts w:ascii="宋体" w:cs="宋体"/>
          <w:b/>
          <w:sz w:val="52"/>
          <w:szCs w:val="52"/>
        </w:rPr>
      </w:pPr>
    </w:p>
    <w:p>
      <w:pPr>
        <w:adjustRightInd w:val="0"/>
        <w:snapToGrid w:val="0"/>
        <w:spacing w:line="760" w:lineRule="exact"/>
        <w:jc w:val="center"/>
        <w:rPr>
          <w:rFonts w:hint="eastAsia" w:ascii="宋体" w:hAnsi="宋体" w:eastAsia="宋体" w:cs="宋体"/>
          <w:b/>
          <w:sz w:val="52"/>
          <w:szCs w:val="52"/>
        </w:rPr>
      </w:pPr>
      <w:r>
        <w:rPr>
          <w:rFonts w:hint="eastAsia" w:ascii="宋体" w:hAnsi="宋体" w:eastAsia="宋体" w:cs="宋体"/>
          <w:b/>
          <w:sz w:val="52"/>
          <w:szCs w:val="52"/>
        </w:rPr>
        <w:t>招标文件</w:t>
      </w: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新宋体" w:hAnsi="新宋体" w:eastAsia="新宋体"/>
          <w:b/>
          <w:sz w:val="30"/>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300" w:lineRule="auto"/>
        <w:rPr>
          <w:rFonts w:ascii="方正小标宋简体" w:hAnsi="方正小标宋简体" w:eastAsia="方正小标宋简体" w:cs="方正小标宋简体"/>
          <w:b/>
          <w:sz w:val="32"/>
          <w:szCs w:val="32"/>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300" w:lineRule="auto"/>
        <w:ind w:left="851" w:firstLine="1355"/>
        <w:rPr>
          <w:rFonts w:ascii="方正小标宋简体" w:hAnsi="方正小标宋简体" w:eastAsia="方正小标宋简体" w:cs="方正小标宋简体"/>
          <w:b/>
          <w:sz w:val="32"/>
          <w:szCs w:val="32"/>
        </w:rPr>
      </w:pPr>
    </w:p>
    <w:p>
      <w:pPr>
        <w:adjustRightInd w:val="0"/>
        <w:snapToGrid w:val="0"/>
        <w:spacing w:line="760" w:lineRule="exact"/>
        <w:jc w:val="center"/>
        <w:rPr>
          <w:rFonts w:hint="eastAsia" w:ascii="宋体" w:hAnsi="宋体" w:eastAsia="宋体" w:cs="宋体"/>
          <w:b/>
          <w:sz w:val="32"/>
          <w:szCs w:val="32"/>
        </w:rPr>
      </w:pPr>
      <w:r>
        <w:rPr>
          <w:rFonts w:hint="eastAsia" w:ascii="宋体" w:hAnsi="宋体" w:eastAsia="宋体" w:cs="宋体"/>
          <w:b/>
          <w:sz w:val="32"/>
          <w:szCs w:val="32"/>
        </w:rPr>
        <w:t>招 标 人：广东财经大学佛山校区管委会后勤办</w:t>
      </w:r>
    </w:p>
    <w:p>
      <w:pPr>
        <w:adjustRightInd w:val="0"/>
        <w:snapToGrid w:val="0"/>
        <w:spacing w:line="760" w:lineRule="exact"/>
        <w:jc w:val="center"/>
        <w:rPr>
          <w:rFonts w:hint="eastAsia" w:ascii="宋体" w:hAnsi="宋体" w:eastAsia="宋体" w:cs="宋体"/>
          <w:b/>
          <w:sz w:val="32"/>
          <w:szCs w:val="32"/>
        </w:rPr>
      </w:pPr>
    </w:p>
    <w:p>
      <w:pPr>
        <w:adjustRightInd w:val="0"/>
        <w:snapToGrid w:val="0"/>
        <w:spacing w:line="760" w:lineRule="exact"/>
        <w:jc w:val="center"/>
        <w:rPr>
          <w:rFonts w:hint="eastAsia" w:ascii="宋体" w:hAnsi="宋体" w:eastAsia="宋体" w:cs="宋体"/>
          <w:b/>
          <w:sz w:val="32"/>
          <w:szCs w:val="32"/>
        </w:rPr>
      </w:pPr>
      <w:r>
        <w:rPr>
          <w:rFonts w:hint="eastAsia" w:ascii="宋体" w:hAnsi="宋体" w:eastAsia="宋体" w:cs="宋体"/>
          <w:b/>
          <w:sz w:val="32"/>
          <w:szCs w:val="32"/>
        </w:rPr>
        <w:t>二O二二年</w:t>
      </w:r>
      <w:r>
        <w:rPr>
          <w:rFonts w:hint="eastAsia" w:ascii="宋体" w:hAnsi="宋体" w:eastAsia="宋体" w:cs="宋体"/>
          <w:b/>
          <w:sz w:val="32"/>
          <w:szCs w:val="32"/>
          <w:lang w:val="en-US" w:eastAsia="zh-CN"/>
        </w:rPr>
        <w:t>十</w:t>
      </w:r>
      <w:r>
        <w:rPr>
          <w:rFonts w:hint="eastAsia" w:ascii="宋体" w:hAnsi="宋体" w:eastAsia="宋体" w:cs="宋体"/>
          <w:b/>
          <w:sz w:val="32"/>
          <w:szCs w:val="32"/>
        </w:rPr>
        <w:t>月</w:t>
      </w:r>
    </w:p>
    <w:p>
      <w:pPr>
        <w:adjustRightInd w:val="0"/>
        <w:snapToGrid w:val="0"/>
        <w:spacing w:line="300" w:lineRule="auto"/>
        <w:rPr>
          <w:rFonts w:ascii="方正小标宋简体" w:hAnsi="方正小标宋简体" w:eastAsia="方正小标宋简体" w:cs="方正小标宋简体"/>
          <w:b/>
          <w:sz w:val="32"/>
          <w:szCs w:val="32"/>
        </w:rPr>
      </w:pPr>
    </w:p>
    <w:p>
      <w:pPr>
        <w:adjustRightInd w:val="0"/>
        <w:snapToGrid w:val="0"/>
        <w:spacing w:line="300" w:lineRule="auto"/>
        <w:rPr>
          <w:rFonts w:ascii="方正小标宋简体" w:hAnsi="方正小标宋简体" w:eastAsia="方正小标宋简体" w:cs="方正小标宋简体"/>
          <w:b/>
          <w:sz w:val="32"/>
          <w:szCs w:val="32"/>
        </w:rPr>
      </w:pPr>
    </w:p>
    <w:p>
      <w:pPr>
        <w:pStyle w:val="15"/>
        <w:spacing w:line="360" w:lineRule="auto"/>
        <w:rPr>
          <w:rFonts w:ascii="黑体" w:hAnsi="黑体" w:eastAsia="黑体" w:cs="黑体"/>
        </w:rPr>
      </w:pPr>
    </w:p>
    <w:p>
      <w:pPr>
        <w:rPr>
          <w:lang w:val="zh-CN"/>
        </w:rPr>
      </w:pPr>
    </w:p>
    <w:p>
      <w:pPr>
        <w:rPr>
          <w:lang w:val="zh-CN"/>
        </w:rPr>
      </w:pPr>
    </w:p>
    <w:p>
      <w:pPr>
        <w:pStyle w:val="15"/>
        <w:spacing w:line="360" w:lineRule="auto"/>
        <w:rPr>
          <w:rFonts w:ascii="黑体" w:hAnsi="黑体" w:eastAsia="黑体" w:cs="黑体"/>
        </w:rPr>
      </w:pPr>
    </w:p>
    <w:p>
      <w:pPr>
        <w:pStyle w:val="15"/>
        <w:spacing w:line="360" w:lineRule="auto"/>
        <w:rPr>
          <w:rFonts w:hint="eastAsia" w:ascii="宋体" w:hAnsi="宋体" w:eastAsia="宋体" w:cs="宋体"/>
        </w:rPr>
      </w:pPr>
      <w:r>
        <w:rPr>
          <w:rFonts w:hint="eastAsia" w:ascii="宋体" w:hAnsi="宋体" w:eastAsia="宋体" w:cs="宋体"/>
        </w:rPr>
        <w:t>目  录</w:t>
      </w:r>
    </w:p>
    <w:p>
      <w:pPr>
        <w:rPr>
          <w:rFonts w:ascii="??_GB2312" w:hAnsi="??_GB2312" w:cs="??_GB2312"/>
          <w:sz w:val="32"/>
          <w:szCs w:val="32"/>
          <w:lang w:val="zh-CN"/>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第一部分  招 标 公 告</w:t>
      </w:r>
    </w:p>
    <w:p>
      <w:pPr>
        <w:rPr>
          <w:rFonts w:hint="eastAsia" w:ascii="宋体" w:hAnsi="宋体" w:eastAsia="宋体" w:cs="宋体"/>
          <w:b/>
          <w:sz w:val="32"/>
          <w:szCs w:val="32"/>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第二部分</w:t>
      </w:r>
      <w:r>
        <w:rPr>
          <w:rStyle w:val="22"/>
          <w:rFonts w:hint="eastAsia" w:ascii="宋体" w:hAnsi="宋体" w:eastAsia="宋体" w:cs="宋体"/>
          <w:color w:val="000000"/>
          <w:sz w:val="32"/>
          <w:szCs w:val="32"/>
          <w:u w:val="none"/>
          <w:lang w:val="en-US"/>
        </w:rPr>
        <w:t xml:space="preserve">  </w:t>
      </w:r>
      <w:r>
        <w:rPr>
          <w:rStyle w:val="22"/>
          <w:rFonts w:hint="eastAsia" w:ascii="宋体" w:hAnsi="宋体" w:eastAsia="宋体" w:cs="宋体"/>
          <w:color w:val="000000"/>
          <w:sz w:val="32"/>
          <w:szCs w:val="32"/>
          <w:u w:val="none"/>
        </w:rPr>
        <w:t>投 标 须 知</w:t>
      </w:r>
    </w:p>
    <w:p>
      <w:pPr>
        <w:pStyle w:val="14"/>
        <w:spacing w:line="360" w:lineRule="auto"/>
        <w:rPr>
          <w:rStyle w:val="22"/>
          <w:rFonts w:hint="eastAsia" w:ascii="宋体" w:hAnsi="宋体" w:eastAsia="宋体" w:cs="宋体"/>
          <w:color w:val="000000"/>
          <w:sz w:val="32"/>
          <w:szCs w:val="32"/>
          <w:u w:val="none"/>
          <w:lang w:val="en-US"/>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第三部分  评 标 办 法 与 细 则</w:t>
      </w:r>
    </w:p>
    <w:p>
      <w:pPr>
        <w:pStyle w:val="14"/>
        <w:spacing w:line="360" w:lineRule="auto"/>
        <w:rPr>
          <w:rStyle w:val="22"/>
          <w:rFonts w:hint="eastAsia" w:ascii="宋体" w:hAnsi="宋体" w:eastAsia="宋体" w:cs="宋体"/>
          <w:color w:val="000000"/>
          <w:sz w:val="32"/>
          <w:szCs w:val="32"/>
          <w:u w:val="none"/>
        </w:rPr>
      </w:pPr>
    </w:p>
    <w:p>
      <w:pPr>
        <w:pStyle w:val="14"/>
        <w:spacing w:line="360" w:lineRule="auto"/>
        <w:rPr>
          <w:rStyle w:val="22"/>
          <w:rFonts w:hint="eastAsia" w:ascii="宋体" w:hAnsi="宋体" w:eastAsia="宋体" w:cs="宋体"/>
          <w:color w:val="000000"/>
          <w:sz w:val="32"/>
          <w:szCs w:val="32"/>
          <w:u w:val="none"/>
        </w:rPr>
      </w:pPr>
      <w:r>
        <w:rPr>
          <w:rStyle w:val="22"/>
          <w:rFonts w:hint="eastAsia" w:ascii="宋体" w:hAnsi="宋体" w:eastAsia="宋体" w:cs="宋体"/>
          <w:color w:val="000000"/>
          <w:sz w:val="32"/>
          <w:szCs w:val="32"/>
          <w:u w:val="none"/>
        </w:rPr>
        <w:t>第四部分  投 标 文 件 格 式</w:t>
      </w:r>
    </w:p>
    <w:p>
      <w:pPr>
        <w:pStyle w:val="14"/>
        <w:spacing w:line="360" w:lineRule="auto"/>
        <w:rPr>
          <w:rStyle w:val="22"/>
          <w:rFonts w:cs="宋体"/>
          <w:color w:val="000000"/>
          <w:sz w:val="32"/>
          <w:szCs w:val="32"/>
        </w:rPr>
      </w:pPr>
    </w:p>
    <w:p>
      <w:pPr>
        <w:rPr>
          <w:lang w:val="zh-CN"/>
        </w:rPr>
      </w:pPr>
    </w:p>
    <w:p>
      <w:pPr>
        <w:pStyle w:val="14"/>
        <w:spacing w:line="360" w:lineRule="auto"/>
        <w:rPr>
          <w:rStyle w:val="22"/>
          <w:rFonts w:cs="宋体"/>
          <w:color w:val="000000"/>
          <w:sz w:val="32"/>
          <w:szCs w:val="32"/>
          <w:u w:val="none"/>
        </w:rPr>
      </w:pPr>
    </w:p>
    <w:p/>
    <w:p>
      <w:pPr>
        <w:pStyle w:val="14"/>
        <w:spacing w:line="360" w:lineRule="auto"/>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rPr>
          <w:rStyle w:val="22"/>
          <w:rFonts w:ascii="??_GB2312" w:hAnsi="??_GB2312" w:cs="??_GB2312"/>
          <w:color w:val="000000"/>
          <w:sz w:val="32"/>
          <w:szCs w:val="32"/>
          <w:u w:val="none"/>
        </w:rPr>
      </w:pPr>
    </w:p>
    <w:p>
      <w:pPr>
        <w:pStyle w:val="4"/>
        <w:spacing w:before="0" w:after="0" w:line="400" w:lineRule="exact"/>
        <w:jc w:val="both"/>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rPr>
          <w:rStyle w:val="22"/>
          <w:rFonts w:ascii="??_GB2312" w:hAnsi="??_GB2312" w:cs="??_GB2312"/>
          <w:color w:val="000000"/>
          <w:sz w:val="32"/>
          <w:u w:val="none"/>
        </w:rPr>
      </w:pPr>
    </w:p>
    <w:p>
      <w:pPr>
        <w:pStyle w:val="4"/>
        <w:spacing w:before="0" w:after="0" w:line="400" w:lineRule="exact"/>
        <w:jc w:val="both"/>
        <w:rPr>
          <w:rStyle w:val="22"/>
          <w:rFonts w:ascii="??_GB2312" w:hAnsi="??_GB2312" w:cs="??_GB2312"/>
          <w:color w:val="000000"/>
          <w:sz w:val="32"/>
          <w:u w:val="none"/>
        </w:rPr>
      </w:pPr>
    </w:p>
    <w:p>
      <w:pPr>
        <w:pStyle w:val="4"/>
        <w:numPr>
          <w:ilvl w:val="0"/>
          <w:numId w:val="0"/>
        </w:numPr>
        <w:spacing w:before="0" w:after="0" w:line="400" w:lineRule="exact"/>
        <w:ind w:firstLine="2891" w:firstLineChars="900"/>
        <w:jc w:val="both"/>
        <w:rPr>
          <w:rFonts w:hint="eastAsia" w:ascii="仿宋" w:hAnsi="仿宋" w:eastAsia="仿宋" w:cs="仿宋"/>
          <w:sz w:val="32"/>
          <w:szCs w:val="32"/>
        </w:rPr>
      </w:pPr>
      <w:bookmarkStart w:id="0" w:name="OLE_LINK3"/>
      <w:r>
        <w:rPr>
          <w:rFonts w:hint="eastAsia" w:ascii="仿宋" w:hAnsi="仿宋" w:eastAsia="仿宋" w:cs="仿宋"/>
          <w:sz w:val="32"/>
          <w:lang w:val="en-US" w:eastAsia="zh-CN"/>
        </w:rPr>
        <w:t>第一部分</w:t>
      </w:r>
      <w:r>
        <w:rPr>
          <w:rFonts w:hint="eastAsia" w:ascii="仿宋" w:hAnsi="仿宋" w:eastAsia="仿宋" w:cs="仿宋"/>
          <w:sz w:val="32"/>
        </w:rPr>
        <w:t xml:space="preserve"> </w:t>
      </w:r>
      <w:r>
        <w:rPr>
          <w:rFonts w:hint="eastAsia" w:ascii="仿宋" w:hAnsi="仿宋" w:eastAsia="仿宋" w:cs="仿宋"/>
          <w:sz w:val="32"/>
          <w:szCs w:val="32"/>
        </w:rPr>
        <w:t>招标公告</w:t>
      </w:r>
    </w:p>
    <w:p>
      <w:pPr>
        <w:pStyle w:val="4"/>
        <w:spacing w:before="0" w:after="0" w:line="400" w:lineRule="exact"/>
        <w:jc w:val="both"/>
        <w:rPr>
          <w:rFonts w:hint="eastAsia" w:ascii="仿宋" w:hAnsi="仿宋" w:eastAsia="仿宋" w:cs="仿宋"/>
          <w:sz w:val="36"/>
          <w:szCs w:val="36"/>
        </w:rPr>
      </w:pPr>
    </w:p>
    <w:bookmarkEnd w:id="0"/>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广东财经大学佛山校区管委会现对第三食堂特色餐饮档口合作项目进行公开招标，欢迎符合条件的企业和个人积极参加投标。</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2"/>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项目名称:广东财经大学佛山校区第三食堂公开引进特色餐饮档口合作项目。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2"/>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项目内容：</w:t>
      </w:r>
    </w:p>
    <w:tbl>
      <w:tblPr>
        <w:tblStyle w:val="18"/>
        <w:tblpPr w:leftFromText="180" w:rightFromText="180" w:vertAnchor="text" w:horzAnchor="page" w:tblpX="1101" w:tblpY="270"/>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45"/>
        <w:gridCol w:w="1245"/>
        <w:gridCol w:w="2610"/>
        <w:gridCol w:w="1020"/>
        <w:gridCol w:w="12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84"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包组</w:t>
            </w:r>
          </w:p>
        </w:tc>
        <w:tc>
          <w:tcPr>
            <w:tcW w:w="1245"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tc>
        <w:tc>
          <w:tcPr>
            <w:tcW w:w="1245"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tc>
        <w:tc>
          <w:tcPr>
            <w:tcW w:w="2610" w:type="dxa"/>
          </w:tcPr>
          <w:p>
            <w:pPr>
              <w:widowControl/>
              <w:spacing w:before="225" w:after="225"/>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每月上交第三食堂物价平抑基金费</w:t>
            </w:r>
          </w:p>
        </w:tc>
        <w:tc>
          <w:tcPr>
            <w:tcW w:w="1020"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合同期限</w:t>
            </w:r>
          </w:p>
        </w:tc>
        <w:tc>
          <w:tcPr>
            <w:tcW w:w="1290"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履约保证金</w:t>
            </w:r>
          </w:p>
        </w:tc>
        <w:tc>
          <w:tcPr>
            <w:tcW w:w="1575" w:type="dxa"/>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4" w:type="dxa"/>
            <w:vAlign w:val="center"/>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p>
        </w:tc>
        <w:tc>
          <w:tcPr>
            <w:tcW w:w="1245" w:type="dxa"/>
            <w:vAlign w:val="center"/>
          </w:tcPr>
          <w:p>
            <w:pPr>
              <w:widowControl/>
              <w:spacing w:before="225" w:after="225"/>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佛山校区第三食堂一楼东面</w:t>
            </w:r>
          </w:p>
        </w:tc>
        <w:tc>
          <w:tcPr>
            <w:tcW w:w="1245" w:type="dxa"/>
            <w:vAlign w:val="center"/>
          </w:tcPr>
          <w:p>
            <w:pPr>
              <w:widowControl/>
              <w:spacing w:before="225" w:after="225"/>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特色餐饮档口</w:t>
            </w:r>
          </w:p>
        </w:tc>
        <w:tc>
          <w:tcPr>
            <w:tcW w:w="2610" w:type="dxa"/>
          </w:tcPr>
          <w:p>
            <w:pPr>
              <w:widowControl/>
              <w:spacing w:before="225" w:after="225"/>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物价平抑基金费为起价不低于1.2万元（综合得分最高者为中标人）</w:t>
            </w:r>
          </w:p>
        </w:tc>
        <w:tc>
          <w:tcPr>
            <w:tcW w:w="1020" w:type="dxa"/>
            <w:vAlign w:val="center"/>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3年</w:t>
            </w:r>
          </w:p>
        </w:tc>
        <w:tc>
          <w:tcPr>
            <w:tcW w:w="1290" w:type="dxa"/>
            <w:vAlign w:val="center"/>
          </w:tcPr>
          <w:p>
            <w:pPr>
              <w:widowControl/>
              <w:spacing w:before="225" w:after="225"/>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5万元</w:t>
            </w:r>
          </w:p>
        </w:tc>
        <w:tc>
          <w:tcPr>
            <w:tcW w:w="1575" w:type="dxa"/>
          </w:tcPr>
          <w:p>
            <w:pPr>
              <w:widowControl/>
              <w:spacing w:before="225" w:after="225"/>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全场地约60m2,全部装修和设备自带</w:t>
            </w:r>
          </w:p>
        </w:tc>
      </w:tr>
    </w:tbl>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经营范围：档口特色指定套餐等。均不得经营凉菜、西式汉堡包、有烟烧烤、烧腊、酒吧、有毒有害等食品；不得外购半成品、熟食；不得经营已有的其他项目；不得经营超过现有的水电燃气等供应条件、经营条件和不符合市场监督管理部门要求的项目。如需改变或增加经营项目的，须符合场地要求和校区规定，并须经校区管委会批准。</w:t>
      </w:r>
    </w:p>
    <w:p>
      <w:pPr>
        <w:widowControl/>
        <w:spacing w:line="400" w:lineRule="exact"/>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三、投标人资格合格条件（报名须提交相关的资料）</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pStyle w:val="2"/>
        <w:rPr>
          <w:rFonts w:hint="default"/>
          <w:lang w:val="en-US" w:eastAsia="zh-CN"/>
        </w:rPr>
      </w:pPr>
      <w:r>
        <w:rPr>
          <w:rFonts w:hint="eastAsia" w:ascii="仿宋" w:hAnsi="仿宋" w:eastAsia="仿宋" w:cs="Times New Roman"/>
          <w:kern w:val="2"/>
          <w:sz w:val="28"/>
          <w:szCs w:val="28"/>
          <w:lang w:val="en-US" w:eastAsia="zh-CN" w:bidi="ar-SA"/>
        </w:rPr>
        <w:t>2、企业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被列入信用“黑名单”。</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4、投标人近三年内在经营过程中没有违法行为和食物中毒事故。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5、本项目不接受联合体投标。</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四、其他：</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1、招标人对因不可抗力事件造成的投标文件的损坏、丢失不承担任何责任。</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2、投标人有下列情况之一的，其投标文书为无效标书：</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（1）未在规定的时间内将投标文书送达规定地点的。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（2）投标人的投标文件无法定代表人签字或无法人代表授权委托的。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（3）投标人的投标文书未按要求密封加盖公章的或者未按要求签字的。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（4）投标人不符合“合格的投标人”要求的。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（5）投标文件附有招标人不能接受的条件的。</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五、报名方式</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符合资格条件的企业请在2022年10月24日至2022年10月28日（8：30～11：30，15:00～16:30）携带按要求填写并加盖单位公章的《</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"http://bidding.gdufe.edu.cn/_upload/article/files/bf/27/67dbcb1d434fa0ac2abf0a145ead/223d8041-603c-4f5b-b361-c2685e569423.doc"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特色餐饮档口合作项目投标报名登记表</w:t>
      </w:r>
      <w:r>
        <w:rPr>
          <w:rFonts w:hint="eastAsia" w:ascii="仿宋" w:hAnsi="仿宋" w:eastAsia="仿宋" w:cs="Times New Roman"/>
          <w:kern w:val="2"/>
          <w:sz w:val="28"/>
          <w:szCs w:val="28"/>
          <w:lang w:val="en-US" w:eastAsia="zh-CN" w:bidi="ar-SA"/>
        </w:rPr>
        <w:fldChar w:fldCharType="end"/>
      </w:r>
      <w:r>
        <w:rPr>
          <w:rFonts w:hint="eastAsia" w:ascii="仿宋" w:hAnsi="仿宋" w:eastAsia="仿宋" w:cs="Times New Roman"/>
          <w:kern w:val="2"/>
          <w:sz w:val="28"/>
          <w:szCs w:val="28"/>
          <w:lang w:val="en-US" w:eastAsia="zh-CN" w:bidi="ar-SA"/>
        </w:rPr>
        <w:t>》到广东财经大学佛山校区第三食堂一楼办公室，报名联系人：梁老师，联系电话：0757-87828085/13169718259。</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六、勘察现场</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参加本项目的所有投标人请在2022年10月24日下午16:30广东财经大学佛山校区第三食堂进行实地勘察。勘察当天，任何理由不参加实地勘察者，视作自动放弃勘察的机会。勘察现场联系人：梁老师，联系电话：0757-87828085/13169718259。</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七、领取招标文件方式</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资格预审符合条件的投标人于2022年10月31上午8:30—9:30日到广东财经大学佛山校区第三食堂一楼办公室领取招标文件，联系人：梁老师，联系电话：0757-87828085/13169718259。</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八、递交投标文件及开标时间和地点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1、递交投标文件时间：2022年11月4日上午8:30-11:30；</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2、开标时间：2022年11月4日下午15:00</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3、评标地点：广东财经大学佛山校区第三食堂二楼会议室       </w:t>
      </w:r>
    </w:p>
    <w:p>
      <w:pPr>
        <w:spacing w:line="240" w:lineRule="atLeast"/>
        <w:ind w:firstLine="4760" w:firstLineChars="1700"/>
        <w:jc w:val="righ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广东财经大学佛山校区管委会</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2022年10月21</w:t>
      </w:r>
      <w:bookmarkStart w:id="51" w:name="_GoBack"/>
      <w:bookmarkEnd w:id="51"/>
      <w:r>
        <w:rPr>
          <w:rFonts w:hint="eastAsia" w:ascii="仿宋" w:hAnsi="仿宋" w:eastAsia="仿宋" w:cs="Times New Roman"/>
          <w:kern w:val="2"/>
          <w:sz w:val="28"/>
          <w:szCs w:val="28"/>
          <w:lang w:val="en-US" w:eastAsia="zh-CN" w:bidi="ar-SA"/>
        </w:rPr>
        <w:t>日</w:t>
      </w:r>
    </w:p>
    <w:p>
      <w:pPr>
        <w:spacing w:line="240" w:lineRule="atLeast"/>
        <w:ind w:firstLine="3213" w:firstLineChars="10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第二部分  投标须知</w:t>
      </w:r>
    </w:p>
    <w:p>
      <w:pPr>
        <w:pStyle w:val="5"/>
        <w:numPr>
          <w:ilvl w:val="0"/>
          <w:numId w:val="0"/>
        </w:numPr>
        <w:bidi w:val="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 </w:t>
      </w:r>
      <w:r>
        <w:rPr>
          <w:rFonts w:hint="eastAsia" w:ascii="仿宋_GB2312" w:hAnsi="仿宋_GB2312" w:eastAsia="仿宋_GB2312" w:cs="仿宋_GB2312"/>
          <w:sz w:val="28"/>
          <w:szCs w:val="28"/>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2.1.1适用范围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本招标文件仅适用于本次招标中所叙述的报价范围。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除特别说明外，本招标文件均适用所有子包（如有的话）。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本招标文件的解释权归广东财经大学所有。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 定义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2.1.2.1  “招标人”、“采购人”、“买方”、“甲方”、“学校”、“校方”、“我校”“业主”、“用户”均指广东财经大学，合同的一方当事人。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2.1.2.2 “投标人”、“报价人”、“供应商”是指参与本项目竞争的法人。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2.1.2.3 “中标人”、“成交人”、“卖方”、“乙方”是指经法定程序确定并授予合同的投标人，合同的一方当事人。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2.1.2.4 “货物”是指投标人须向招标人提供符合国家有关标准并满足招标文件规定的一切设备、机械、工具、产品及其伴随配件、资料等相关服务。招标文件中没有提及招标货物来源地的，根据国家相关规定均应是本国货物，优先采购节能、环保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2.1.2.5 “服务”是指投标人须向招标人履行的职责并提供满足招标文件规定的劳务，如技术协助、支持、培训，安装、调试、管理、维护及其所需工具、手册等其它技术资料和材料。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2.1.3合格投标人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（3）投标人须了解高校的教学、科研和生活的规律和要求，要有立足为师生提供优质服务的思想，有良好的思想素质和职业道德，充分认识学校食堂具有明显的公益性的特点；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（4）投标人近三年内在经营过程中没有违法行为和食物中毒事故。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（5）本项目不接受联合体投标。</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招标文件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3.1.1 招标文件的构成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3.1.2 投标邀请函。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3.1.3 项目内容及需求。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3.1.4 投标人须知。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3.1.5 评标办法及标准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3.1.6 合同格式及主要条款。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3.1.7 投标文件格式。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3.1.8 招标文件的澄清、修改及补充等其他文件。</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3.2投标文件</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3.3.投标文件的构成</w:t>
      </w:r>
    </w:p>
    <w:p>
      <w:pPr>
        <w:pStyle w:val="5"/>
        <w:numPr>
          <w:ilvl w:val="0"/>
          <w:numId w:val="0"/>
        </w:numPr>
        <w:bidi w:val="0"/>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投标文件应符合法律法规及招标文件的要求，至少包括下列文件：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3.3.1.1 投标函。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3.3.1.2 价格文件。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3.3.1.3 技术或服务文件。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3.3.1.5 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3.3.1.6 投标资格文件（包括：合格投标人资格证明文件、法定代表人证明书、授权委托书、投标人认为有必要提供的其他资质证书、材料）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以上文件相关格式、内容及要求请见招标文件第六部分。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投标文件的编制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3.3.2.1 投标人在获取招标文件后，应当按照招标文件的要求自主编制投标文件，投标文件应当对招标文件提出的实质性要求和条件作出明确的响应。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3.3.2.2 投标人应采用Office软件的Excel或Word中文版（A4纸）制作投标文件，图片、印刷文件以及招标文件另有规定的除外，并有封面、目录、流水页码。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3.3.2.3 投标人应完整、真实、准确的填写招标文件中规定的所有内容，且字体清晰。由于字体模糊或内容不详或没有提供招标文件中所要求的全部资料及数据，投标人应承担由此造成的任何后果。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3.3.2.4 投标人必须对投标文件所提供的全部资料的真实性承担法律责任，并无条件接受招标人及上级相关监督管理部门等对其中任何资料进行核实的要求。</w:t>
      </w:r>
    </w:p>
    <w:p>
      <w:pPr>
        <w:numPr>
          <w:ilvl w:val="0"/>
          <w:numId w:val="0"/>
        </w:numPr>
        <w:spacing w:line="400" w:lineRule="exac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3.4投标报价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 投标人应按照招标文件规定的内容、责任范围进行报价，并按《价格文件》确定的格式报价。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3.4.2 投标必须对所投标的子包（如果有的话）中所有内容进行报价，不允许只对包中部分内容进行报价，每个子包有且仅有一个报价（招标文件允许投标备选方案的除外），对于报价免费的项目必须标明“免费”。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投标文件的装订与签署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3.4.3 投标文件一律用A4纸（图纸、效果图等招标文件有特别说明的除外）打印，每套投标文件应独立装订成册。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3.4.4 投标人应准备投标文件正本1套、副本4套，每套投标文件须清楚地标明“正本”或“副本”。一旦正本和副本不符，以正本为准。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3.4.5 投标文件应由投标人的法定代表人或代理人在投标文件上签字。任何行间插字、涂改和增删的，必须由投标文件签字人在旁边签字确认，并加盖投标人公章。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3.4.6因投标文件装订质量或不可抗力事件而造成的一切后果，招标人概不承担责任。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投标文件的密封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3.4.7投标人应将投标文件正本、副本装入信封或封套中，且在信封或封套上标明“正本”或“副本”字样。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3.4.8信封或封套均应按以下要求清晰标记：</w:t>
      </w:r>
    </w:p>
    <w:tbl>
      <w:tblPr>
        <w:tblStyle w:val="18"/>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w:t>
            </w:r>
            <w:r>
              <w:rPr>
                <w:rFonts w:hint="eastAsia" w:asciiTheme="minorEastAsia" w:hAnsiTheme="minorEastAsia" w:eastAsiaTheme="minorEastAsia"/>
                <w:color w:val="000000"/>
                <w:sz w:val="23"/>
                <w:szCs w:val="23"/>
                <w:u w:val="single"/>
                <w:lang w:val="en-US" w:eastAsia="zh-CN"/>
              </w:rPr>
              <w:t>佛山校区管理委员会</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3.4.9信封或封套的封口处加盖供应商公章或自然人签名。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3.4.10信封或封套未按上述要求密封和加写标记的，造成投标文件涉密、误投或过早启封，招标人概不负责。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投标文件的递交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3.4.11 投标人应当在招标文件要求递交投标文件的截止时间（开标时间）前或指定的时间，将投标文件送达指定地点。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3.4.12未密封或在投标截止时间后送达的投标文件，招标人不予接收。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3.4.13投标人在招标文件规定的投标有效期内撤回其投标或投标文件。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3.4.14中标人未能按招标文件要求与招标人签订合同。</w:t>
      </w: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eastAsia" w:ascii="仿宋" w:hAnsi="仿宋" w:eastAsia="仿宋" w:cs="仿宋"/>
          <w:b/>
          <w:bCs/>
          <w:kern w:val="2"/>
          <w:sz w:val="32"/>
          <w:szCs w:val="32"/>
          <w:lang w:val="en-US" w:eastAsia="zh-CN" w:bidi="ar-SA"/>
        </w:rPr>
      </w:pPr>
    </w:p>
    <w:p>
      <w:pPr>
        <w:spacing w:line="240" w:lineRule="atLeast"/>
        <w:jc w:val="left"/>
        <w:rPr>
          <w:rFonts w:hint="eastAsia" w:ascii="仿宋" w:hAnsi="仿宋" w:eastAsia="仿宋" w:cs="仿宋"/>
          <w:b/>
          <w:bCs/>
          <w:kern w:val="2"/>
          <w:sz w:val="32"/>
          <w:szCs w:val="32"/>
          <w:lang w:val="en-US" w:eastAsia="zh-CN" w:bidi="ar-SA"/>
        </w:rPr>
      </w:pPr>
    </w:p>
    <w:p>
      <w:pPr>
        <w:spacing w:line="240" w:lineRule="atLeast"/>
        <w:ind w:firstLine="3213" w:firstLineChars="1000"/>
        <w:jc w:val="left"/>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第三部分 其他说明</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一、投标人必须在招标文件规定的投标截止时间前将投标文件送达指定的投标地点。在投标截止时限以后送达的投标文件不再接收。</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二、信用要求</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实行信用一票否决制。投标单位有下列情况之一者，招标人有权立即取消投标人的资格，并三年之内不得参加招标人组织的投标。</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（一）提供虚假材料或隐瞒重大食品安全事故、骗取中标的；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（二）采取不正当手段诋毁、排挤其他投标人的；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（三）与其他投标人恶意串通的；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（四）中标后，无正当理由拒绝与招标单位签订合同的；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（五）中标人违反法律法规，给招标人带来损害的；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（六）投标人不服从招标人管理，影响招标人正常工作，一学期收到两次书面警告或合作期内累计收到四次书面警告后仍拒不整改。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（七）合同协议期内其它不履行投标文件承诺的。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（八）借用其他公司资质，实际上非投标人经营的。</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三、合同签订</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中标人中标后，要求在10个工作日内完成合同签订（如遇假期顺延至学校财务正常上班），否则招标人有权取消中标资格。经过招标人核查，如有与招投标文件不相符的，违反了“信用要求”，则取消中标资格，依次替补或启动重新招标。在合同期内由于学校或政府重大政策性调整,或发生自然灾害等不可抗拒的因素，致使合同提前终止的,甲方不予赔偿。</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四、履约保证金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（一）资格预审符合条件的投标人须交3万元（人民币叁万元整）保证金，中标弃权保证金不予退还。当第一中标人退出或被取消资格时，由第二中标人依次递补。</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（二）在合同签订之日起5日内（如遇假期顺延至学校财务正常上班），中标人应向招标人交纳经营履约保证金5万元（人民币伍万元整）。</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履约保证金可用于赔偿因中标人原因造成招标人或学校的损失或因中标人违约而支付给招标人的违约金。若履约保证金不足以赔偿损失的，中标人必须追加赔偿金，以足额赔偿招标人的损失。发生赔偿后，中标人必须于10个工作日内补足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（四）合同期内，中标人完全履行了合同的，合同终止时，招标人</w:t>
      </w:r>
      <w:r>
        <w:rPr>
          <w:rFonts w:hint="eastAsia" w:ascii="仿宋" w:hAnsi="仿宋" w:eastAsia="仿宋" w:cs="Times New Roman"/>
          <w:kern w:val="2"/>
          <w:sz w:val="28"/>
          <w:szCs w:val="28"/>
          <w:lang w:val="en-US" w:eastAsia="zh-Hans" w:bidi="ar-SA"/>
        </w:rPr>
        <w:t>在</w:t>
      </w:r>
      <w:r>
        <w:rPr>
          <w:rFonts w:hint="eastAsia" w:ascii="仿宋" w:hAnsi="仿宋" w:eastAsia="仿宋" w:cs="Times New Roman"/>
          <w:kern w:val="2"/>
          <w:sz w:val="28"/>
          <w:szCs w:val="28"/>
          <w:lang w:val="en-US" w:eastAsia="zh-CN" w:bidi="ar-SA"/>
        </w:rPr>
        <w:t>一个月内全额无息退回履约保证金，中途退场的，没收履约保证金。</w:t>
      </w:r>
    </w:p>
    <w:p>
      <w:pPr>
        <w:spacing w:line="240" w:lineRule="atLeast"/>
        <w:ind w:firstLine="843" w:firstLineChars="3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五、其他费用承担及结算</w:t>
      </w:r>
    </w:p>
    <w:p>
      <w:pPr>
        <w:spacing w:line="240" w:lineRule="atLeast"/>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一）合作经营人的营业款结算，采取月结的方式，根据合同规定扣取对应的货款及水、电、燃气等相关费用，由引进人提取物价平抑基金费后，将营业款项支付给合作经营人（合作经营人银行卡账号：开户名：开户行：）。如合作经营人项目营业款项不够扣除对应的货款和水电费、清洁费、一卡通管理费以及后勤发展金的，合作经营人必须在次月5日前交清不足部分款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（二）档口的校园一卡通管理费由合作经营人承担，费用标准按照学校规定的收取标准执行。</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（三）档口经营所产生的燃气、水、电费由合作经营人承担。有安装计量表的由合作经营人独立承担；没有独立安装计量表的按营业收入比例由合作经营人进行分担。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（四）卫生费及公共区域的水电费、清洁费按营业收入比例由合作人进行分担。</w:t>
      </w:r>
    </w:p>
    <w:p>
      <w:pPr>
        <w:spacing w:line="400" w:lineRule="exact"/>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六、经营要求</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（一）中标人必须守法经营，不得从事违法犯罪的行为，严禁出售假冒伪劣商品。不得在合作场所从事宗教活动，未经批准不得举行非法集会等活动。</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（二）中标人必须严格履行合同，执行招标人各项规章制度，服从管理，严禁出现任何破坏校园秩序的行为。</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中标人负责饮食卫生安全。招标人将严格执行事故责任追究制度，如在合作期内发生食物中毒等重大责任事故，损害师生身体健康，影响学校声誉，中标人必须承担由此造成的一切责任和经济损失，招标人有权无条件终止合同，并没收履约保证金。</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（四）中标人不得在中标后以任何方式转包或分包他人经营。</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中标人需要与雇佣人员签订劳务合同，并按照规定购买社保等，所招聘的员工必须无犯罪记录的行为能力人，负责从业人员工作过程中的安全责任和管理责任，上岗前必须将员工健康证明和身份证复印件等相关证件提交招标人，如发生生产安全事故，或意外伤亡事故，中标人应承担全部责任和经济补偿。</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（六）中标人需亲自或指定负责人全天在岗对所合作的档口进行管理，并负责从业人员的生产安全、卫生安全、服务等的教育培训，并接受招标人的指导和培训。</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未经招标人批准，在合作期内中标人不得更改房产结构，不得变换基本设施，若因经营服务需要对经营场所进行改造装修、添加设备，须书面报告征得招标人批准后方可实施，并由中标人承担所有费用。在合作结束或终止合同后必须保持装修原貌，不得进行破坏，凡是镶嵌在墙上和地板上的设施设备（包括炉具）不得搬离，归招标人所有，招标人不负责任何补偿。自行出资购置的可移动的设备及剩余物品等，在合作结束或终止合同后7天内搬离经营场所。</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（八）中标人按照学校要求严格执行招标人制定的营业时间，并遵守节假日、学校大型活动等招标人做出的临时性安排。</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（九）员工需穿戴统一的工作服、工作帽、口罩、围裙、工作牌等，由中标人自购。</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（十）中标人自行购买的厨具、炊具、餐具须经过招标人审核后自行购买。招标人提供档口的公用的勺子和筷子。</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（十一）中标人必须在招标人提供的加工、经营区域内操作经营，对挤占公共区域、侵占其他中标人权益，招标人有权进行处罚，并要求予以纠正。</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十二）中标人要爱护房产和设备、桌椅等财产，全权负责经营范围内的设备的保管，若丢失或损坏，需按价赔偿，否则将在营业额中扣减，并作出处罚；水、电、燃气等基础类设施设备的维修，由招标人承担，由中标人人为造成损坏的由中标人承担；由招标人提供的设备，单体单项维修价格超过500元的，由招标人支付，不超过的由中标人承担。  </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（十三）中标人所经营的项目、品种及定价必须经过招标人的审批。</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（十四）合同到期或因中标人原因提前终止合同，中标人聘请的员工，由中标人自行处理，任何劳资纠纷，均与招标人无关。</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（十五）凡是档口被扣减了履约保证金的，须在5天内补足履约保证金，否则将停止合同，剩余保证金不予退还。</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七、中标人清退和补充</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中标人发生违反合同规定的情况，招标人将采取警告、处罚乃至终止合同等措施。对于违反合同的情况，招标人发出书面警告通知书一学期达到两次，或合作期内累计达到四次，仍拒不整改的，招标人有权终止合同，3年内不再接受其投标。</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（二）中标人有下列行为之一者，招标人有权终止合作合同，保证金不予返还，造成经济损失由中标人承担，涉嫌违法犯罪的，报司法机关处理。</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1、中标人从事违法犯罪活动，或在合作场所从事宗教活动或未经批准举行非法集会、示威等活动的。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2、中标人在经营过程中，受到公安、食品卫生监督部门处罚或追究刑事责任的。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3、由中标人的原因造成进餐者食物中毒，或在经营过程中造成严重安全事故的。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因档口的食品价格、数量、卫生和服务态度等引起学生罢餐、静坐、游行、师生联名投诉等群体性事件或在校园网上多次反映此类情况，影响恶劣的，以及虽然未发生群体性事件，但是影响了饭堂稳定或校园稳定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5、中标人的经营达不到食监部门的卫生安全标准或招标人的管理要求，由招标人责令整改，而整改后仍达不到要求的。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6、中标人未经批准，在公共场所或新闻媒体发表有关“广东财经大学”、“广东财经大学佛山校区管委会”等事宜的。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7、中标人与师生或招标人管理人员发生冲突，或被师生多次投诉的。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8、中标人私自偷盗或转卖学校提供的生产设备、用具、炊具、原材料的。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9、不服从招标人的日常管理的。</w:t>
      </w:r>
    </w:p>
    <w:p>
      <w:pPr>
        <w:spacing w:line="240" w:lineRule="atLeast"/>
        <w:ind w:firstLine="560" w:firstLineChars="200"/>
        <w:jc w:val="left"/>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en-US" w:eastAsia="zh-CN" w:bidi="ar-SA"/>
        </w:rPr>
        <w:t>（三）中标人退出后，招标人有权根据投标人评标时排名高低顺序，依次替补，也可以启动重新招标确定新的合作商。</w:t>
      </w:r>
    </w:p>
    <w:p>
      <w:pPr>
        <w:spacing w:line="240" w:lineRule="atLeast"/>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八、其他</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（一）招标人对因不可抗力事件造成的投标文件的损坏、丢失不承担任何责任。</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（二）投标人有下列情况之一的，其投标文书为无效标书：</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1、未在规定的时间内将投标文书送达规定地点的。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2、投标人的投标文件无法定代表人签字或无法人代表授权委托的。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3、投标人的投标文书未按要求密封加盖公章的。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4、投标人不符合“合格的投标人”要求的。</w:t>
      </w:r>
    </w:p>
    <w:p>
      <w:pPr>
        <w:spacing w:line="240" w:lineRule="atLeas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5、投标文件附有招标人不能接受的条件的。  </w:t>
      </w:r>
      <w:bookmarkStart w:id="1" w:name="OLE_LINK6"/>
    </w:p>
    <w:p>
      <w:pPr>
        <w:spacing w:line="240" w:lineRule="atLeast"/>
        <w:ind w:firstLine="560" w:firstLineChars="200"/>
        <w:jc w:val="left"/>
        <w:rPr>
          <w:rFonts w:hint="eastAsia" w:ascii="仿宋" w:hAnsi="仿宋" w:eastAsia="仿宋" w:cs="Times New Roman"/>
          <w:kern w:val="2"/>
          <w:sz w:val="28"/>
          <w:szCs w:val="28"/>
          <w:lang w:val="en-US" w:eastAsia="zh-CN" w:bidi="ar-SA"/>
        </w:rPr>
      </w:pPr>
    </w:p>
    <w:p>
      <w:pPr>
        <w:spacing w:line="240" w:lineRule="atLeast"/>
        <w:ind w:firstLine="560" w:firstLineChars="200"/>
        <w:jc w:val="left"/>
        <w:rPr>
          <w:rFonts w:hint="eastAsia" w:ascii="仿宋" w:hAnsi="仿宋" w:eastAsia="仿宋" w:cs="Times New Roman"/>
          <w:kern w:val="2"/>
          <w:sz w:val="28"/>
          <w:szCs w:val="28"/>
          <w:lang w:val="en-US" w:eastAsia="zh-CN" w:bidi="ar-SA"/>
        </w:rPr>
      </w:pPr>
    </w:p>
    <w:p>
      <w:pPr>
        <w:pStyle w:val="2"/>
        <w:rPr>
          <w:rFonts w:hint="eastAsia" w:ascii="仿宋" w:hAnsi="仿宋" w:eastAsia="仿宋" w:cs="Times New Roman"/>
          <w:kern w:val="2"/>
          <w:sz w:val="28"/>
          <w:szCs w:val="28"/>
          <w:lang w:val="en-US" w:eastAsia="zh-CN" w:bidi="ar-SA"/>
        </w:rPr>
      </w:pPr>
    </w:p>
    <w:p>
      <w:pPr>
        <w:pStyle w:val="4"/>
        <w:spacing w:before="0" w:after="0" w:line="400" w:lineRule="exact"/>
        <w:jc w:val="both"/>
        <w:rPr>
          <w:rFonts w:hint="eastAsia" w:ascii="仿宋" w:hAnsi="仿宋" w:eastAsia="仿宋" w:cs="仿宋"/>
          <w:sz w:val="32"/>
        </w:rPr>
      </w:pPr>
    </w:p>
    <w:p>
      <w:pPr>
        <w:pStyle w:val="4"/>
        <w:spacing w:before="0" w:after="0" w:line="400" w:lineRule="exact"/>
        <w:ind w:firstLine="2249" w:firstLineChars="700"/>
        <w:jc w:val="both"/>
        <w:rPr>
          <w:rFonts w:hint="default" w:ascii="仿宋" w:hAnsi="仿宋" w:eastAsia="仿宋" w:cs="仿宋"/>
          <w:sz w:val="32"/>
          <w:lang w:val="en-US" w:eastAsia="zh-CN"/>
        </w:rPr>
      </w:pPr>
      <w:r>
        <w:rPr>
          <w:rFonts w:hint="eastAsia" w:ascii="仿宋" w:hAnsi="仿宋" w:eastAsia="仿宋" w:cs="仿宋"/>
          <w:sz w:val="32"/>
        </w:rPr>
        <w:t>第</w:t>
      </w:r>
      <w:r>
        <w:rPr>
          <w:rFonts w:hint="eastAsia" w:ascii="仿宋" w:hAnsi="仿宋" w:eastAsia="仿宋" w:cs="仿宋"/>
          <w:sz w:val="32"/>
          <w:lang w:val="en-US" w:eastAsia="zh-CN"/>
        </w:rPr>
        <w:t>四</w:t>
      </w:r>
      <w:r>
        <w:rPr>
          <w:rFonts w:hint="eastAsia" w:ascii="仿宋" w:hAnsi="仿宋" w:eastAsia="仿宋" w:cs="仿宋"/>
          <w:sz w:val="32"/>
        </w:rPr>
        <w:t>部分  评标办法与</w:t>
      </w:r>
      <w:r>
        <w:rPr>
          <w:rFonts w:hint="eastAsia" w:ascii="仿宋" w:hAnsi="仿宋" w:eastAsia="仿宋" w:cs="仿宋"/>
          <w:sz w:val="32"/>
          <w:lang w:val="en-US" w:eastAsia="zh-CN"/>
        </w:rPr>
        <w:t>评标规则</w:t>
      </w:r>
    </w:p>
    <w:bookmarkEnd w:id="1"/>
    <w:p>
      <w:pPr>
        <w:pStyle w:val="4"/>
        <w:spacing w:before="0" w:after="0" w:line="400" w:lineRule="exact"/>
        <w:rPr>
          <w:sz w:val="32"/>
        </w:rPr>
      </w:pPr>
    </w:p>
    <w:p>
      <w:pPr>
        <w:pStyle w:val="9"/>
        <w:pageBreakBefore w:val="0"/>
        <w:kinsoku/>
        <w:wordWrap/>
        <w:overflowPunct/>
        <w:topLinePunct w:val="0"/>
        <w:bidi w:val="0"/>
        <w:snapToGrid/>
        <w:spacing w:line="240" w:lineRule="auto"/>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评标小组将按照规定只对通过符合性检查的投标文件进行评价和比较。</w:t>
      </w:r>
    </w:p>
    <w:p>
      <w:pPr>
        <w:pageBreakBefore w:val="0"/>
        <w:kinsoku/>
        <w:wordWrap/>
        <w:overflowPunct/>
        <w:topLinePunct w:val="0"/>
        <w:bidi w:val="0"/>
        <w:snapToGrid/>
        <w:spacing w:line="240" w:lineRule="auto"/>
        <w:ind w:left="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具体方法及流程如下：</w:t>
      </w:r>
    </w:p>
    <w:p>
      <w:pPr>
        <w:pStyle w:val="6"/>
        <w:pageBreakBefore w:val="0"/>
        <w:tabs>
          <w:tab w:val="left" w:pos="1680"/>
        </w:tabs>
        <w:kinsoku/>
        <w:wordWrap/>
        <w:overflowPunct/>
        <w:topLinePunct w:val="0"/>
        <w:bidi w:val="0"/>
        <w:snapToGrid/>
        <w:spacing w:before="0" w:after="0" w:line="240" w:lineRule="auto"/>
        <w:textAlignment w:val="auto"/>
        <w:rPr>
          <w:rFonts w:hint="eastAsia" w:ascii="仿宋" w:hAnsi="仿宋" w:eastAsia="仿宋" w:cs="Times New Roman"/>
          <w:kern w:val="2"/>
          <w:sz w:val="28"/>
          <w:szCs w:val="28"/>
          <w:lang w:val="en-US" w:eastAsia="zh-CN" w:bidi="ar-SA"/>
        </w:rPr>
      </w:pPr>
      <w:bookmarkStart w:id="2" w:name="_Toc43264543"/>
      <w:bookmarkStart w:id="3" w:name="_Toc49135233"/>
      <w:bookmarkStart w:id="4" w:name="_Toc61327436"/>
      <w:bookmarkStart w:id="5" w:name="_Toc37496253"/>
      <w:bookmarkStart w:id="6" w:name="_Toc357773224"/>
      <w:bookmarkStart w:id="7" w:name="_Toc357772792"/>
      <w:bookmarkStart w:id="8" w:name="_Toc357772506"/>
      <w:bookmarkStart w:id="9" w:name="_Toc26800373"/>
      <w:r>
        <w:rPr>
          <w:rFonts w:hint="eastAsia" w:ascii="仿宋" w:hAnsi="仿宋" w:eastAsia="仿宋" w:cs="Times New Roman"/>
          <w:kern w:val="2"/>
          <w:sz w:val="28"/>
          <w:szCs w:val="28"/>
          <w:lang w:val="en-US" w:eastAsia="zh-CN" w:bidi="ar-SA"/>
        </w:rPr>
        <w:t xml:space="preserve">    一、接收投标文件</w:t>
      </w:r>
      <w:bookmarkEnd w:id="2"/>
      <w:bookmarkEnd w:id="3"/>
      <w:bookmarkEnd w:id="4"/>
      <w:bookmarkEnd w:id="5"/>
      <w:bookmarkEnd w:id="6"/>
      <w:bookmarkEnd w:id="7"/>
      <w:bookmarkEnd w:id="8"/>
      <w:bookmarkEnd w:id="9"/>
    </w:p>
    <w:p>
      <w:pPr>
        <w:pageBreakBefore w:val="0"/>
        <w:kinsoku/>
        <w:wordWrap/>
        <w:overflowPunct/>
        <w:topLinePunct w:val="0"/>
        <w:bidi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招标人按招标文件规定的时间和地点接收投标文件。投标人必须按照要求制作和递交投标文件。</w:t>
      </w:r>
    </w:p>
    <w:p>
      <w:pPr>
        <w:pageBreakBefore w:val="0"/>
        <w:kinsoku/>
        <w:wordWrap/>
        <w:overflowPunct/>
        <w:topLinePunct w:val="0"/>
        <w:bidi w:val="0"/>
        <w:snapToGrid/>
        <w:spacing w:line="240" w:lineRule="auto"/>
        <w:ind w:firstLine="562" w:firstLineChars="200"/>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二、资格审查</w:t>
      </w:r>
    </w:p>
    <w:p>
      <w:pPr>
        <w:pageBreakBefore w:val="0"/>
        <w:kinsoku/>
        <w:wordWrap/>
        <w:overflowPunct/>
        <w:topLinePunct w:val="0"/>
        <w:bidi w:val="0"/>
        <w:snapToGrid/>
        <w:spacing w:line="240" w:lineRule="auto"/>
        <w:ind w:firstLine="48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投标人对各投标文件按照招标文件要求的响应情况进行资格性和符合性审查。资格性和符合性审查必须根据招标文件中对投标人的要求和投标文件中的响应进行。</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（一）商务符合性审查：评审小组将对各投标文件是否完整、有关资格证明文件是否齐全有效、文件签署是否合格、是否符合招标档口的要求等商务符合性进行审查。</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（二）投标文件出现下列情况时将被认定为无效投标：</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①投标人不符合合格投标人的条件；</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②投标文件未按招标文件规定盖章或签署；</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③评标小组认为投标文件未符合档口要求的；</w:t>
      </w:r>
    </w:p>
    <w:p>
      <w:pPr>
        <w:pStyle w:val="16"/>
        <w:pageBreakBefore w:val="0"/>
        <w:widowControl/>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④评标小组认为其它构成投标未实质性响应招标文件要求的。</w:t>
      </w:r>
    </w:p>
    <w:p>
      <w:pPr>
        <w:pStyle w:val="16"/>
        <w:pageBreakBefore w:val="0"/>
        <w:widowControl/>
        <w:numPr>
          <w:ilvl w:val="0"/>
          <w:numId w:val="2"/>
        </w:numPr>
        <w:kinsoku/>
        <w:wordWrap/>
        <w:overflowPunct/>
        <w:topLinePunct w:val="0"/>
        <w:bidi w:val="0"/>
        <w:snapToGrid/>
        <w:spacing w:before="0" w:beforeAutospacing="0" w:after="0" w:afterAutospacing="0"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通过了评审小组审查的投标为有效投标，并进入下一阶段的详细评价和比较。经评审小组审查，若某投标出现 “不通过”，则该投标不能进入下一阶段的评审。</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2" w:firstLineChars="200"/>
        <w:textAlignment w:val="auto"/>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三、开标</w:t>
      </w:r>
      <w:bookmarkStart w:id="10" w:name="_Toc61327437"/>
      <w:bookmarkStart w:id="11" w:name="_Toc26800374"/>
      <w:bookmarkStart w:id="12" w:name="_Toc357772793"/>
      <w:bookmarkStart w:id="13" w:name="_Toc357772507"/>
      <w:bookmarkStart w:id="14" w:name="_Toc357773225"/>
      <w:bookmarkStart w:id="15" w:name="_Toc49135234"/>
      <w:bookmarkStart w:id="16" w:name="_Toc43264544"/>
      <w:bookmarkStart w:id="17" w:name="_Toc37496254"/>
      <w:r>
        <w:rPr>
          <w:rFonts w:hint="eastAsia" w:ascii="仿宋" w:hAnsi="仿宋" w:eastAsia="仿宋" w:cs="Times New Roman"/>
          <w:b/>
          <w:bCs/>
          <w:kern w:val="2"/>
          <w:sz w:val="28"/>
          <w:szCs w:val="28"/>
          <w:lang w:val="en-US" w:eastAsia="zh-CN" w:bidi="ar-SA"/>
        </w:rPr>
        <w:t>、评标</w:t>
      </w:r>
      <w:bookmarkEnd w:id="10"/>
      <w:bookmarkEnd w:id="11"/>
      <w:bookmarkEnd w:id="12"/>
      <w:bookmarkEnd w:id="13"/>
      <w:bookmarkEnd w:id="14"/>
      <w:bookmarkEnd w:id="15"/>
      <w:bookmarkEnd w:id="16"/>
      <w:bookmarkEnd w:id="17"/>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按照评标程序的规定和依据进行评分。根据按得分高低排出名次，排名第一的为第一中标人，排名第二的为第二顺序中标人，以此类推。</w:t>
      </w:r>
      <w:bookmarkStart w:id="18" w:name="_Toc357772794"/>
      <w:bookmarkStart w:id="19" w:name="_Toc357773226"/>
      <w:bookmarkStart w:id="20" w:name="_Toc357772508"/>
    </w:p>
    <w:bookmarkEnd w:id="18"/>
    <w:bookmarkEnd w:id="19"/>
    <w:bookmarkEnd w:id="20"/>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b/>
          <w:bCs/>
          <w:kern w:val="2"/>
          <w:sz w:val="28"/>
          <w:szCs w:val="28"/>
          <w:lang w:val="en-US" w:eastAsia="zh-CN" w:bidi="ar-SA"/>
        </w:rPr>
      </w:pPr>
      <w:bookmarkStart w:id="21" w:name="OLE_LINK5"/>
      <w:bookmarkStart w:id="22" w:name="OLE_LINK9"/>
      <w:r>
        <w:rPr>
          <w:rFonts w:hint="eastAsia" w:ascii="仿宋" w:hAnsi="仿宋" w:eastAsia="仿宋" w:cs="Times New Roman"/>
          <w:b/>
          <w:bCs/>
          <w:kern w:val="2"/>
          <w:sz w:val="28"/>
          <w:szCs w:val="28"/>
          <w:lang w:val="en-US" w:eastAsia="zh-CN" w:bidi="ar-SA"/>
        </w:rPr>
        <w:t>四、评标规则</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按照综合评分法，各有效投标人的总得分从高至低排名顺序，排名第一的为中标人；出现综合得分并列时，由评委组讨论决定顺序。</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招标人在签订合同过程中，如发现申报人以他人名义投标或者以其他方式弄虚作假，骗取合作服务资格的，招标人有权取消其合作商资格，并根据投标人评标时排名高低顺序，依次替补，或重新启动新的招标。 </w:t>
      </w:r>
      <w:bookmarkEnd w:id="21"/>
      <w:bookmarkEnd w:id="22"/>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为了禁止借用其他公司的资质进行投标，或进行分包和转包，招标人将有权在签订合同之前，对中标人进行核查相关的资质和项目情况。如发现资料造假，则有权取消中标资格，依次替补或重新招标。</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539"/>
        <w:textAlignment w:val="auto"/>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五、附件：投标报名表</w:t>
      </w:r>
    </w:p>
    <w:p>
      <w:pPr>
        <w:pStyle w:val="3"/>
        <w:ind w:left="0" w:firstLine="0"/>
        <w:rPr>
          <w:rFonts w:hint="eastAsia" w:ascii="仿宋" w:hAnsi="仿宋" w:eastAsia="仿宋" w:cs="Times New Roman"/>
          <w:b/>
          <w:bCs/>
          <w:kern w:val="2"/>
          <w:sz w:val="44"/>
          <w:szCs w:val="44"/>
          <w:lang w:val="en-US" w:eastAsia="zh-CN" w:bidi="ar-SA"/>
        </w:rPr>
      </w:pPr>
    </w:p>
    <w:p>
      <w:pPr>
        <w:pStyle w:val="4"/>
        <w:spacing w:before="0" w:after="312" w:afterLines="100" w:line="520" w:lineRule="exact"/>
        <w:jc w:val="both"/>
        <w:rPr>
          <w:rFonts w:ascii="黑体" w:hAnsi="黑体" w:cs="黑体"/>
          <w:b w:val="0"/>
          <w:bCs w:val="0"/>
          <w:sz w:val="32"/>
        </w:rPr>
      </w:pPr>
    </w:p>
    <w:p>
      <w:pPr>
        <w:pStyle w:val="4"/>
        <w:spacing w:before="0" w:after="312" w:afterLines="100" w:line="520" w:lineRule="exact"/>
        <w:jc w:val="both"/>
        <w:rPr>
          <w:rFonts w:ascii="黑体" w:hAnsi="黑体" w:cs="黑体"/>
          <w:b w:val="0"/>
          <w:bCs w:val="0"/>
          <w:sz w:val="32"/>
        </w:rPr>
      </w:pPr>
    </w:p>
    <w:p>
      <w:pPr>
        <w:pStyle w:val="4"/>
        <w:spacing w:before="0" w:after="312" w:afterLines="100" w:line="520" w:lineRule="exact"/>
        <w:jc w:val="both"/>
        <w:rPr>
          <w:rFonts w:ascii="黑体" w:hAnsi="黑体" w:cs="黑体"/>
          <w:b w:val="0"/>
          <w:bCs w:val="0"/>
          <w:sz w:val="32"/>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p>
    <w:p>
      <w:pPr>
        <w:pStyle w:val="4"/>
        <w:spacing w:before="0" w:after="312" w:afterLines="100" w:line="520" w:lineRule="exact"/>
        <w:jc w:val="both"/>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                       投标报名表</w:t>
      </w:r>
    </w:p>
    <w:p>
      <w:pPr>
        <w:spacing w:line="400" w:lineRule="exac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广东财经大学佛山校区管理委员会：</w:t>
      </w:r>
    </w:p>
    <w:p>
      <w:pPr>
        <w:spacing w:line="40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我方</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（申请人名称），现参加广东财经大学佛山校区第三食堂特色餐饮档口合作项目招标，并承诺以下信息真实、合法，接受招标人的审核。</w:t>
      </w:r>
    </w:p>
    <w:tbl>
      <w:tblPr>
        <w:tblStyle w:val="18"/>
        <w:tblW w:w="9174" w:type="dxa"/>
        <w:jc w:val="center"/>
        <w:tblLayout w:type="fixed"/>
        <w:tblCellMar>
          <w:top w:w="0" w:type="dxa"/>
          <w:left w:w="0" w:type="dxa"/>
          <w:bottom w:w="0" w:type="dxa"/>
          <w:right w:w="0" w:type="dxa"/>
        </w:tblCellMar>
      </w:tblPr>
      <w:tblGrid>
        <w:gridCol w:w="2059"/>
        <w:gridCol w:w="2253"/>
        <w:gridCol w:w="2173"/>
        <w:gridCol w:w="2689"/>
      </w:tblGrid>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法人身份证*</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投标负责人*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负责人身份证*</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负责人手机*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注册（户口）地址*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负责人电子邮箱*</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是否符合档口项目要求*</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愿意服从档口调整和经营项目的调整*</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经营项目的品种*</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项目需要提供条件</w:t>
            </w:r>
          </w:p>
        </w:tc>
        <w:tc>
          <w:tcPr>
            <w:tcW w:w="711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rPr>
                <w:rFonts w:hint="eastAsia" w:ascii="仿宋_GB2312" w:hAnsi="仿宋_GB2312" w:eastAsia="仿宋_GB2312" w:cs="仿宋_GB2312"/>
                <w:sz w:val="24"/>
                <w:szCs w:val="24"/>
              </w:rPr>
            </w:pPr>
          </w:p>
        </w:tc>
      </w:tr>
    </w:tbl>
    <w:p>
      <w:pPr>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注：1、带“*”为必须填写项。</w:t>
      </w:r>
    </w:p>
    <w:p>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2、每个包组报名需填写一份报名表。</w:t>
      </w:r>
    </w:p>
    <w:p>
      <w:pPr>
        <w:spacing w:line="400" w:lineRule="exact"/>
        <w:ind w:left="239" w:leftChars="114"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3、是否符合档口项目要求一栏，请对照档口要求进行陈述，如果未进行陈述，或者不能满足档口的要求，则不能通过资格审查，不能进行评分阶段。</w:t>
      </w:r>
    </w:p>
    <w:p>
      <w:pPr>
        <w:spacing w:line="400" w:lineRule="exact"/>
        <w:ind w:left="239" w:leftChars="114"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4、所有投标人，必须填“愿意服从档口调整和经营项目的调整”中“愿意”一栏，否则为无效投标人</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5、此表务必认真填写并加盖企业公章。</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公司签章（或个人签名）： </w:t>
      </w:r>
    </w:p>
    <w:p>
      <w:pPr>
        <w:spacing w:line="400" w:lineRule="exact"/>
        <w:ind w:right="84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ind w:right="42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申请日期：    年   月   日</w:t>
      </w:r>
    </w:p>
    <w:p>
      <w:pPr>
        <w:spacing w:line="400" w:lineRule="exact"/>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pStyle w:val="14"/>
        <w:spacing w:line="360" w:lineRule="exact"/>
        <w:jc w:val="center"/>
        <w:rPr>
          <w:rStyle w:val="22"/>
          <w:rFonts w:hint="eastAsia" w:ascii="仿宋_GB2312" w:hAnsi="仿宋_GB2312" w:eastAsia="仿宋_GB2312" w:cs="仿宋_GB2312"/>
          <w:color w:val="000000"/>
          <w:sz w:val="32"/>
          <w:szCs w:val="32"/>
          <w:u w:val="none"/>
        </w:rPr>
      </w:pPr>
    </w:p>
    <w:p>
      <w:pPr>
        <w:rPr>
          <w:rStyle w:val="22"/>
          <w:rFonts w:ascii="??_GB2312" w:hAnsi="??_GB2312" w:cs="??_GB2312"/>
          <w:color w:val="000000"/>
          <w:sz w:val="32"/>
          <w:szCs w:val="32"/>
          <w:u w:val="none"/>
        </w:rPr>
      </w:pPr>
    </w:p>
    <w:p>
      <w:pPr>
        <w:pStyle w:val="4"/>
        <w:spacing w:before="0" w:after="0" w:line="400" w:lineRule="exact"/>
        <w:ind w:firstLine="2249" w:firstLineChars="700"/>
        <w:jc w:val="both"/>
        <w:rPr>
          <w:rFonts w:hint="eastAsia" w:ascii="仿宋" w:hAnsi="仿宋" w:eastAsia="仿宋" w:cs="仿宋"/>
          <w:sz w:val="32"/>
        </w:rPr>
      </w:pPr>
      <w:bookmarkStart w:id="23" w:name="_Toc25131"/>
      <w:bookmarkStart w:id="24" w:name="_Toc298325866"/>
    </w:p>
    <w:p>
      <w:pPr>
        <w:pStyle w:val="4"/>
        <w:spacing w:before="0" w:after="0" w:line="400" w:lineRule="exact"/>
        <w:ind w:firstLine="2249" w:firstLineChars="700"/>
        <w:jc w:val="both"/>
        <w:rPr>
          <w:rFonts w:hint="eastAsia" w:ascii="仿宋" w:hAnsi="仿宋" w:eastAsia="仿宋" w:cs="仿宋"/>
          <w:sz w:val="32"/>
        </w:rPr>
      </w:pPr>
    </w:p>
    <w:p>
      <w:pPr>
        <w:pStyle w:val="4"/>
        <w:spacing w:before="0" w:after="0" w:line="400" w:lineRule="exact"/>
        <w:jc w:val="center"/>
        <w:rPr>
          <w:rFonts w:hint="eastAsia" w:ascii="仿宋" w:hAnsi="仿宋" w:eastAsia="仿宋" w:cs="仿宋"/>
          <w:sz w:val="32"/>
        </w:rPr>
      </w:pPr>
      <w:r>
        <w:rPr>
          <w:rFonts w:hint="eastAsia" w:ascii="仿宋" w:hAnsi="仿宋" w:eastAsia="仿宋" w:cs="仿宋"/>
          <w:sz w:val="32"/>
        </w:rPr>
        <w:t>第</w:t>
      </w:r>
      <w:r>
        <w:rPr>
          <w:rFonts w:hint="eastAsia" w:ascii="仿宋" w:hAnsi="仿宋" w:eastAsia="仿宋" w:cs="仿宋"/>
          <w:sz w:val="32"/>
          <w:lang w:val="en-US" w:eastAsia="zh-CN"/>
        </w:rPr>
        <w:t>五</w:t>
      </w:r>
      <w:r>
        <w:rPr>
          <w:rFonts w:hint="eastAsia" w:ascii="仿宋" w:hAnsi="仿宋" w:eastAsia="仿宋" w:cs="仿宋"/>
          <w:sz w:val="32"/>
        </w:rPr>
        <w:t>部分  评标办法</w:t>
      </w:r>
      <w:r>
        <w:rPr>
          <w:rFonts w:hint="eastAsia" w:ascii="仿宋" w:hAnsi="仿宋" w:eastAsia="仿宋" w:cs="仿宋"/>
          <w:sz w:val="32"/>
          <w:lang w:eastAsia="zh-CN"/>
        </w:rPr>
        <w:t>、</w:t>
      </w:r>
      <w:r>
        <w:rPr>
          <w:rFonts w:hint="eastAsia" w:ascii="仿宋" w:hAnsi="仿宋" w:eastAsia="仿宋" w:cs="仿宋"/>
          <w:sz w:val="32"/>
          <w:lang w:val="en-US" w:eastAsia="zh-CN"/>
        </w:rPr>
        <w:t>资格性审查</w:t>
      </w:r>
      <w:r>
        <w:rPr>
          <w:rFonts w:hint="eastAsia" w:ascii="仿宋" w:hAnsi="仿宋" w:eastAsia="仿宋" w:cs="仿宋"/>
          <w:sz w:val="32"/>
        </w:rPr>
        <w:t>及</w:t>
      </w:r>
      <w:r>
        <w:rPr>
          <w:rFonts w:hint="eastAsia" w:ascii="仿宋" w:hAnsi="仿宋" w:eastAsia="仿宋" w:cs="仿宋"/>
          <w:sz w:val="32"/>
          <w:lang w:val="en-US" w:eastAsia="zh-CN"/>
        </w:rPr>
        <w:t>评标</w:t>
      </w:r>
      <w:r>
        <w:rPr>
          <w:rFonts w:hint="eastAsia" w:ascii="仿宋" w:hAnsi="仿宋" w:eastAsia="仿宋" w:cs="仿宋"/>
          <w:sz w:val="32"/>
        </w:rPr>
        <w:t>标准</w:t>
      </w:r>
      <w:bookmarkEnd w:id="23"/>
      <w:bookmarkEnd w:id="24"/>
    </w:p>
    <w:p>
      <w:pPr>
        <w:pStyle w:val="5"/>
        <w:numPr>
          <w:ilvl w:val="0"/>
          <w:numId w:val="0"/>
        </w:numPr>
        <w:bidi w:val="0"/>
        <w:ind w:leftChars="0"/>
      </w:pPr>
      <w:bookmarkStart w:id="25" w:name="_Toc28444"/>
      <w:bookmarkStart w:id="26" w:name="_Toc279072807"/>
      <w:bookmarkStart w:id="27" w:name="_Toc298325867"/>
      <w:r>
        <w:rPr>
          <w:rFonts w:hint="eastAsia"/>
          <w:lang w:val="en-US" w:eastAsia="zh-CN"/>
        </w:rPr>
        <w:t xml:space="preserve">5.1 </w:t>
      </w:r>
      <w:r>
        <w:rPr>
          <w:rFonts w:hint="eastAsia"/>
        </w:rPr>
        <w:t>评标方法</w:t>
      </w:r>
      <w:bookmarkEnd w:id="25"/>
      <w:bookmarkEnd w:id="26"/>
      <w:bookmarkEnd w:id="27"/>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宋体" w:hAnsi="宋体"/>
          <w:color w:val="000000"/>
          <w:sz w:val="24"/>
          <w:szCs w:val="24"/>
          <w:lang w:val="en-US" w:eastAsia="zh-CN"/>
        </w:rPr>
        <w:t xml:space="preserve">5.1.1 </w:t>
      </w:r>
      <w:r>
        <w:rPr>
          <w:rFonts w:hint="eastAsia" w:ascii="仿宋" w:hAnsi="仿宋" w:eastAsia="仿宋" w:cs="Times New Roman"/>
          <w:kern w:val="2"/>
          <w:sz w:val="28"/>
          <w:szCs w:val="28"/>
          <w:lang w:val="en-US" w:eastAsia="zh-CN" w:bidi="ar-SA"/>
        </w:rPr>
        <w:t>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仿宋" w:hAnsi="仿宋" w:eastAsia="仿宋" w:cs="Times New Roman"/>
          <w:kern w:val="2"/>
          <w:sz w:val="28"/>
          <w:szCs w:val="28"/>
          <w:lang w:val="en-US" w:eastAsia="zh-CN" w:bidi="ar-SA"/>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28" w:name="_Toc154"/>
      <w:r>
        <w:rPr>
          <w:rFonts w:hint="eastAsia"/>
          <w:lang w:val="en-US" w:eastAsia="zh-CN"/>
        </w:rPr>
        <w:t>5.2  资格性审查</w:t>
      </w:r>
      <w:bookmarkEnd w:id="28"/>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详见符合性审查表    （附表一）。</w:t>
      </w:r>
    </w:p>
    <w:p>
      <w:pPr>
        <w:pStyle w:val="5"/>
        <w:bidi w:val="0"/>
        <w:rPr>
          <w:rFonts w:hint="eastAsia"/>
          <w:lang w:val="en-US" w:eastAsia="zh-CN"/>
        </w:rPr>
      </w:pPr>
      <w:bookmarkStart w:id="29" w:name="_Toc20060"/>
      <w:r>
        <w:rPr>
          <w:rFonts w:hint="eastAsia"/>
          <w:lang w:val="en-US" w:eastAsia="zh-CN"/>
        </w:rPr>
        <w:t>5.3  权重分配表</w:t>
      </w:r>
      <w:bookmarkEnd w:id="29"/>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详见权重分配表      （附表二）。</w:t>
      </w:r>
    </w:p>
    <w:p>
      <w:pPr>
        <w:pStyle w:val="5"/>
        <w:bidi w:val="0"/>
        <w:rPr>
          <w:rFonts w:hint="default"/>
          <w:lang w:val="en-US" w:eastAsia="zh-CN"/>
        </w:rPr>
      </w:pPr>
      <w:bookmarkStart w:id="30" w:name="_Toc7376"/>
      <w:r>
        <w:rPr>
          <w:rFonts w:hint="eastAsia"/>
          <w:lang w:val="en-US" w:eastAsia="zh-CN"/>
        </w:rPr>
        <w:t>5.4  评标标准</w:t>
      </w:r>
      <w:bookmarkEnd w:id="30"/>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（1）价格评分标准：详见《价格评分表》  （附表三）。</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（2）商务评分标准：详见《商务评分表》  （附表四）。</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（3）技术评分标准：详见《技术评分表》  （附表五）。</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 w:hAnsi="仿宋" w:eastAsia="仿宋" w:cs="Times New Roman"/>
          <w:kern w:val="2"/>
          <w:sz w:val="28"/>
          <w:szCs w:val="28"/>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4" w:type="first"/>
          <w:footerReference r:id="rId3"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both"/>
        <w:rPr>
          <w:rFonts w:hint="eastAsia"/>
          <w:b/>
          <w:bCs/>
          <w:sz w:val="28"/>
          <w:szCs w:val="28"/>
          <w:lang w:val="en-US" w:eastAsia="zh-CN"/>
        </w:rPr>
      </w:pPr>
      <w:r>
        <w:rPr>
          <w:rFonts w:hint="eastAsia"/>
          <w:b/>
          <w:bCs/>
          <w:sz w:val="28"/>
          <w:szCs w:val="28"/>
          <w:lang w:val="en-US" w:eastAsia="zh-CN"/>
        </w:rPr>
        <w:t>附表一：</w:t>
      </w:r>
    </w:p>
    <w:p>
      <w:pPr>
        <w:bidi w:val="0"/>
        <w:jc w:val="center"/>
        <w:rPr>
          <w:rFonts w:hint="eastAsia" w:ascii="仿宋_GB2312" w:hAnsi="仿宋_GB2312" w:eastAsia="仿宋_GB2312" w:cs="仿宋_GB2312"/>
          <w:b/>
          <w:bCs/>
          <w:kern w:val="2"/>
          <w:sz w:val="28"/>
          <w:szCs w:val="28"/>
          <w:lang w:val="en-US" w:eastAsia="zh-CN" w:bidi="ar-SA"/>
        </w:rPr>
      </w:pPr>
      <w:r>
        <w:rPr>
          <w:rFonts w:hint="eastAsia" w:ascii="宋体" w:hAnsi="宋体" w:cs="Times New Roman"/>
          <w:b/>
          <w:bCs/>
          <w:color w:val="000000"/>
          <w:kern w:val="2"/>
          <w:sz w:val="24"/>
          <w:szCs w:val="24"/>
          <w:lang w:val="en-US" w:eastAsia="zh-CN" w:bidi="ar-SA"/>
        </w:rPr>
        <w:t>符合性审查表</w:t>
      </w:r>
    </w:p>
    <w:p>
      <w:pPr>
        <w:keepNext w:val="0"/>
        <w:keepLines w:val="0"/>
        <w:pageBreakBefore w:val="0"/>
        <w:kinsoku/>
        <w:wordWrap/>
        <w:overflowPunct/>
        <w:topLinePunct w:val="0"/>
        <w:bidi w:val="0"/>
        <w:adjustRightInd w:val="0"/>
        <w:snapToGrid w:val="0"/>
        <w:spacing w:line="240" w:lineRule="auto"/>
        <w:ind w:right="191" w:rightChars="91"/>
        <w:textAlignment w:val="auto"/>
        <w:rPr>
          <w:rFonts w:hint="eastAsia" w:ascii="仿宋_GB2312" w:hAnsi="仿宋_GB2312" w:eastAsia="仿宋_GB2312" w:cs="仿宋_GB2312"/>
          <w:b/>
          <w:color w:val="000000"/>
          <w:sz w:val="24"/>
        </w:rPr>
      </w:pPr>
    </w:p>
    <w:p>
      <w:pPr>
        <w:keepNext w:val="0"/>
        <w:keepLines w:val="0"/>
        <w:pageBreakBefore w:val="0"/>
        <w:kinsoku/>
        <w:wordWrap/>
        <w:overflowPunct/>
        <w:topLinePunct w:val="0"/>
        <w:bidi w:val="0"/>
        <w:adjustRightInd w:val="0"/>
        <w:snapToGrid w:val="0"/>
        <w:spacing w:line="240" w:lineRule="auto"/>
        <w:ind w:right="191" w:rightChars="91"/>
        <w:textAlignment w:val="auto"/>
        <w:rPr>
          <w:rFonts w:hint="eastAsia" w:ascii="仿宋_GB2312" w:hAnsi="仿宋_GB2312" w:eastAsia="仿宋_GB2312" w:cs="仿宋_GB2312"/>
          <w:bCs/>
          <w:color w:val="000000"/>
          <w:sz w:val="24"/>
          <w:u w:val="single"/>
        </w:rPr>
      </w:pPr>
      <w:r>
        <w:rPr>
          <w:rFonts w:hint="eastAsia" w:ascii="仿宋_GB2312" w:hAnsi="仿宋_GB2312" w:eastAsia="仿宋_GB2312" w:cs="仿宋_GB2312"/>
          <w:b/>
          <w:color w:val="000000"/>
          <w:sz w:val="24"/>
        </w:rPr>
        <w:t>投标人：</w:t>
      </w:r>
    </w:p>
    <w:tbl>
      <w:tblPr>
        <w:tblStyle w:val="18"/>
        <w:tblW w:w="9290"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865"/>
        <w:gridCol w:w="13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99"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5865"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评审内容</w:t>
            </w:r>
          </w:p>
        </w:tc>
        <w:tc>
          <w:tcPr>
            <w:tcW w:w="1350"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审查结论</w:t>
            </w:r>
          </w:p>
        </w:tc>
        <w:tc>
          <w:tcPr>
            <w:tcW w:w="1276" w:type="dxa"/>
            <w:tcBorders>
              <w:tl2br w:val="nil"/>
              <w:tr2bl w:val="nil"/>
            </w:tcBorders>
            <w:shd w:val="clear" w:color="auto" w:fill="D9D9D9"/>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r>
              <w:rPr>
                <w:rFonts w:hint="eastAsia" w:hAnsi="宋体" w:cs="宋体"/>
                <w:color w:val="auto"/>
                <w:sz w:val="24"/>
                <w:szCs w:val="24"/>
                <w:lang w:eastAsia="zh-CN"/>
              </w:rPr>
              <w:t>；</w:t>
            </w:r>
            <w:r>
              <w:rPr>
                <w:rFonts w:hint="eastAsia" w:hAnsi="宋体" w:cs="宋体"/>
                <w:color w:val="auto"/>
                <w:sz w:val="24"/>
                <w:szCs w:val="24"/>
                <w:lang w:val="en-US" w:eastAsia="zh-CN"/>
              </w:rPr>
              <w:t>自然人未被列入“黑名单”（提供截图）</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3</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投标人须了解高校的教学、科研和生活的规律和要求，要有立足为师生提供优质服务的思想，有良好的思想素质和职业道德，充分认识学校食堂具有明显的公益性的特点</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4</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投标人近三年内在经营过程中没有违法行为和食物中毒事故</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9"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p>
        </w:tc>
        <w:tc>
          <w:tcPr>
            <w:tcW w:w="5865" w:type="dxa"/>
            <w:tcBorders>
              <w:tl2br w:val="nil"/>
              <w:tr2bl w:val="nil"/>
            </w:tcBorders>
            <w:vAlign w:val="center"/>
          </w:tcPr>
          <w:p>
            <w:pPr>
              <w:pStyle w:val="9"/>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本项目不接受联合体投标</w:t>
            </w:r>
          </w:p>
        </w:tc>
        <w:tc>
          <w:tcPr>
            <w:tcW w:w="1350"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c>
          <w:tcPr>
            <w:tcW w:w="1276" w:type="dxa"/>
            <w:tcBorders>
              <w:tl2br w:val="nil"/>
              <w:tr2bl w:val="nil"/>
            </w:tcBorders>
            <w:vAlign w:val="center"/>
          </w:tcPr>
          <w:p>
            <w:pPr>
              <w:pStyle w:val="9"/>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64" w:type="dxa"/>
            <w:gridSpan w:val="2"/>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jc w:val="center"/>
              <w:textAlignment w:val="auto"/>
              <w:rPr>
                <w:rFonts w:hint="eastAsia" w:ascii="宋体" w:hAnsi="宋体" w:eastAsia="宋体" w:cs="宋体"/>
                <w:b/>
                <w:sz w:val="24"/>
                <w:szCs w:val="24"/>
                <w:lang w:bidi="he-IL"/>
              </w:rPr>
            </w:pPr>
            <w:r>
              <w:rPr>
                <w:rFonts w:hint="eastAsia" w:ascii="宋体" w:hAnsi="宋体" w:eastAsia="宋体" w:cs="宋体"/>
                <w:b/>
                <w:bCs/>
                <w:kern w:val="2"/>
                <w:sz w:val="24"/>
                <w:szCs w:val="24"/>
                <w:lang w:val="en-US" w:eastAsia="zh-CN" w:bidi="ar-SA"/>
              </w:rPr>
              <w:t>审查总体结论</w:t>
            </w:r>
          </w:p>
        </w:tc>
        <w:tc>
          <w:tcPr>
            <w:tcW w:w="1350" w:type="dxa"/>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ind w:firstLine="480" w:firstLineChars="200"/>
              <w:textAlignment w:val="auto"/>
              <w:rPr>
                <w:rFonts w:hint="eastAsia" w:ascii="宋体" w:hAnsi="宋体" w:eastAsia="宋体" w:cs="宋体"/>
                <w:sz w:val="24"/>
                <w:szCs w:val="24"/>
                <w:lang w:bidi="he-IL"/>
              </w:rPr>
            </w:pPr>
          </w:p>
        </w:tc>
        <w:tc>
          <w:tcPr>
            <w:tcW w:w="1276" w:type="dxa"/>
            <w:tcBorders>
              <w:tl2br w:val="nil"/>
              <w:tr2bl w:val="nil"/>
            </w:tcBorders>
            <w:vAlign w:val="center"/>
          </w:tcPr>
          <w:p>
            <w:pPr>
              <w:pStyle w:val="16"/>
              <w:keepNext w:val="0"/>
              <w:keepLines w:val="0"/>
              <w:pageBreakBefore w:val="0"/>
              <w:widowControl/>
              <w:kinsoku/>
              <w:wordWrap/>
              <w:overflowPunct/>
              <w:topLinePunct w:val="0"/>
              <w:bidi w:val="0"/>
              <w:spacing w:before="0" w:beforeAutospacing="0" w:after="0" w:afterAutospacing="0" w:line="240" w:lineRule="auto"/>
              <w:ind w:firstLine="480" w:firstLineChars="200"/>
              <w:textAlignment w:val="auto"/>
              <w:rPr>
                <w:rFonts w:hint="eastAsia" w:ascii="宋体" w:hAnsi="宋体" w:eastAsia="宋体" w:cs="宋体"/>
                <w:sz w:val="24"/>
                <w:szCs w:val="24"/>
                <w:lang w:bidi="he-IL"/>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pStyle w:val="9"/>
        <w:keepNext w:val="0"/>
        <w:keepLines w:val="0"/>
        <w:pageBreakBefore w:val="0"/>
        <w:kinsoku/>
        <w:wordWrap/>
        <w:overflowPunct/>
        <w:topLinePunct w:val="0"/>
        <w:bidi w:val="0"/>
        <w:spacing w:line="240" w:lineRule="auto"/>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评委签名： </w:t>
      </w:r>
      <w:r>
        <w:rPr>
          <w:rFonts w:hint="eastAsia" w:ascii="仿宋_GB2312" w:hAnsi="仿宋_GB2312" w:eastAsia="仿宋_GB2312" w:cs="仿宋_GB2312"/>
          <w:kern w:val="2"/>
          <w:sz w:val="28"/>
          <w:szCs w:val="28"/>
          <w:lang w:val="en-US" w:eastAsia="zh-CN" w:bidi="ar-SA"/>
        </w:rPr>
        <w:t xml:space="preserve">                         </w:t>
      </w:r>
    </w:p>
    <w:p>
      <w:pPr>
        <w:pStyle w:val="9"/>
        <w:keepNext w:val="0"/>
        <w:keepLines w:val="0"/>
        <w:pageBreakBefore w:val="0"/>
        <w:kinsoku/>
        <w:wordWrap/>
        <w:overflowPunct/>
        <w:topLinePunct w:val="0"/>
        <w:bidi w:val="0"/>
        <w:spacing w:line="240" w:lineRule="auto"/>
        <w:textAlignment w:val="auto"/>
        <w:rPr>
          <w:rFonts w:hint="eastAsia" w:ascii="仿宋_GB2312" w:hAnsi="仿宋_GB2312" w:eastAsia="仿宋_GB2312" w:cs="仿宋_GB2312"/>
          <w:kern w:val="2"/>
          <w:sz w:val="28"/>
          <w:szCs w:val="28"/>
          <w:lang w:val="en-US" w:eastAsia="zh-CN" w:bidi="ar-SA"/>
        </w:rPr>
      </w:pPr>
    </w:p>
    <w:p>
      <w:pPr>
        <w:pStyle w:val="9"/>
        <w:keepNext w:val="0"/>
        <w:keepLines w:val="0"/>
        <w:pageBreakBefore w:val="0"/>
        <w:kinsoku/>
        <w:wordWrap/>
        <w:overflowPunct/>
        <w:topLinePunct w:val="0"/>
        <w:bidi w:val="0"/>
        <w:spacing w:line="240" w:lineRule="auto"/>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snapToGrid w:val="0"/>
        <w:rPr>
          <w:rFonts w:hint="eastAsia" w:ascii="宋体" w:hAnsi="宋体"/>
          <w:sz w:val="23"/>
          <w:szCs w:val="23"/>
        </w:rPr>
      </w:pPr>
    </w:p>
    <w:p>
      <w:pPr>
        <w:snapToGrid w:val="0"/>
        <w:rPr>
          <w:rFonts w:hint="eastAsia" w:ascii="宋体" w:hAnsi="宋体"/>
          <w:sz w:val="23"/>
          <w:szCs w:val="23"/>
        </w:rPr>
      </w:pP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tbl>
      <w:tblPr>
        <w:tblStyle w:val="19"/>
        <w:tblpPr w:leftFromText="180" w:rightFromText="180" w:vertAnchor="text" w:horzAnchor="page" w:tblpX="1711"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p>
        </w:tc>
      </w:tr>
    </w:tbl>
    <w:p>
      <w:pPr>
        <w:rPr>
          <w:rFonts w:hint="eastAsia"/>
          <w:lang w:val="en-US" w:eastAsia="zh-CN"/>
        </w:rPr>
      </w:pPr>
    </w:p>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18"/>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9"/>
              <w:spacing w:line="300" w:lineRule="auto"/>
              <w:ind w:firstLine="0"/>
              <w:rPr>
                <w:color w:val="000000"/>
                <w:kern w:val="2"/>
                <w:lang w:val="en-US" w:eastAsia="zh-CN"/>
              </w:rPr>
            </w:pPr>
            <w:r>
              <w:rPr>
                <w:rFonts w:hint="eastAsia"/>
                <w:color w:val="000000"/>
                <w:kern w:val="2"/>
                <w:lang w:val="en-US" w:eastAsia="zh-CN"/>
              </w:rPr>
              <w:t>1、价格评审满分为40分，为客观计算得分。</w:t>
            </w:r>
          </w:p>
          <w:p>
            <w:pPr>
              <w:pStyle w:val="9"/>
              <w:spacing w:line="300" w:lineRule="auto"/>
              <w:ind w:firstLine="0"/>
              <w:rPr>
                <w:color w:val="000000"/>
                <w:kern w:val="2"/>
                <w:lang w:val="en-US" w:eastAsia="zh-CN"/>
              </w:rPr>
            </w:pPr>
            <w:r>
              <w:rPr>
                <w:rFonts w:hint="eastAsia"/>
                <w:color w:val="000000"/>
                <w:kern w:val="2"/>
                <w:lang w:val="en-US" w:eastAsia="zh-CN"/>
              </w:rPr>
              <w:t>2、以所有通过资格性与符合性审查的投标人的投标总价作为评审的依据，投标人价格得分评分方法如下：</w:t>
            </w:r>
          </w:p>
          <w:p>
            <w:pPr>
              <w:pStyle w:val="9"/>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w:t>
            </w:r>
            <w:r>
              <w:rPr>
                <w:rFonts w:hint="eastAsia" w:ascii="宋体" w:hAnsi="宋体"/>
                <w:b/>
                <w:color w:val="000000"/>
                <w:sz w:val="24"/>
                <w:lang w:val="en-US" w:eastAsia="zh-CN"/>
              </w:rPr>
              <w:t>40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lang w:val="en-US" w:eastAsia="zh-CN"/>
              </w:rPr>
              <w:t>40分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eastAsia"/>
          <w:b/>
          <w:bCs/>
          <w:sz w:val="28"/>
          <w:szCs w:val="28"/>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19"/>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2"/>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2"/>
              <w:jc w:val="center"/>
              <w:rPr>
                <w:rFonts w:hint="eastAsia"/>
                <w:b/>
                <w:bCs/>
                <w:sz w:val="24"/>
                <w:szCs w:val="24"/>
                <w:vertAlign w:val="baseline"/>
                <w:lang w:val="en-US" w:eastAsia="zh-CN"/>
              </w:rPr>
            </w:pPr>
          </w:p>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投标人对招标文件的响应程度：优于的得</w:t>
            </w:r>
            <w:r>
              <w:rPr>
                <w:rFonts w:hint="eastAsia" w:ascii="宋体" w:hAnsi="宋体"/>
                <w:color w:val="000000"/>
                <w:sz w:val="24"/>
                <w:szCs w:val="24"/>
                <w:lang w:val="en-US" w:eastAsia="zh-CN"/>
              </w:rPr>
              <w:t>6</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（提供商务要求响应表，若商务要求中有要求提供证明材料的，需提供符合要求证明材料，否则视为负偏离。）</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9</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类似餐饮服务项目的</w:t>
            </w:r>
            <w:r>
              <w:rPr>
                <w:rFonts w:hint="eastAsia" w:ascii="宋体" w:hAnsi="宋体"/>
                <w:color w:val="000000"/>
                <w:sz w:val="24"/>
                <w:szCs w:val="24"/>
              </w:rPr>
              <w:t>业绩：每个业绩得2分，最多得12分，不提供不得分。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ascii="宋体" w:hAnsi="宋体" w:eastAsia="宋体" w:cs="宋体"/>
                <w:kern w:val="2"/>
                <w:sz w:val="24"/>
                <w:szCs w:val="24"/>
                <w:vertAlign w:val="baseline"/>
                <w:lang w:val="en-US" w:eastAsia="zh-CN" w:bidi="ar-SA"/>
              </w:rPr>
              <w:t>纳税信用等级</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2019年以来</w:t>
            </w:r>
            <w:r>
              <w:rPr>
                <w:rFonts w:hint="eastAsia" w:ascii="宋体" w:hAnsi="宋体"/>
                <w:color w:val="auto"/>
                <w:sz w:val="24"/>
                <w:szCs w:val="24"/>
              </w:rPr>
              <w:t>获得银行或信用评估机构颁发的信用等级证书</w:t>
            </w:r>
            <w:r>
              <w:rPr>
                <w:rFonts w:hint="eastAsia" w:ascii="宋体" w:hAnsi="宋体"/>
                <w:color w:val="auto"/>
                <w:sz w:val="24"/>
                <w:szCs w:val="24"/>
                <w:lang w:val="en-US" w:eastAsia="zh-CN"/>
              </w:rPr>
              <w:t>或荣誉称号：连续3年</w:t>
            </w:r>
            <w:r>
              <w:rPr>
                <w:rFonts w:hint="eastAsia" w:ascii="宋体" w:hAnsi="宋体"/>
                <w:color w:val="auto"/>
                <w:sz w:val="24"/>
                <w:szCs w:val="24"/>
              </w:rPr>
              <w:t>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连续2年</w:t>
            </w:r>
            <w:r>
              <w:rPr>
                <w:rFonts w:hint="eastAsia" w:ascii="宋体" w:hAnsi="宋体"/>
                <w:color w:val="auto"/>
                <w:sz w:val="24"/>
                <w:szCs w:val="24"/>
              </w:rPr>
              <w:t>得</w:t>
            </w:r>
            <w:r>
              <w:rPr>
                <w:rFonts w:hint="eastAsia" w:ascii="宋体" w:hAnsi="宋体"/>
                <w:color w:val="auto"/>
                <w:sz w:val="24"/>
                <w:szCs w:val="24"/>
                <w:lang w:val="en-US" w:eastAsia="zh-CN"/>
              </w:rPr>
              <w:t>2</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1年得1分，其他不得分。</w:t>
            </w:r>
            <w:r>
              <w:rPr>
                <w:rFonts w:hint="eastAsia" w:ascii="宋体" w:hAnsi="宋体"/>
                <w:color w:val="auto"/>
                <w:sz w:val="24"/>
                <w:szCs w:val="24"/>
              </w:rPr>
              <w:t>（注：提供有效证书复印件，并加盖投标人公章，否则不得分）。</w:t>
            </w:r>
          </w:p>
          <w:p>
            <w:pPr>
              <w:adjustRightInd w:val="0"/>
              <w:snapToGrid w:val="0"/>
              <w:rPr>
                <w:rFonts w:hint="eastAsia" w:ascii="宋体" w:hAnsi="宋体"/>
                <w:color w:val="auto"/>
                <w:sz w:val="24"/>
                <w:szCs w:val="24"/>
              </w:rPr>
            </w:pPr>
            <w:r>
              <w:rPr>
                <w:rFonts w:hint="eastAsia" w:ascii="宋体" w:hAnsi="宋体"/>
                <w:color w:val="auto"/>
                <w:sz w:val="24"/>
                <w:szCs w:val="24"/>
              </w:rPr>
              <w:t>2.投标人20</w:t>
            </w:r>
            <w:r>
              <w:rPr>
                <w:rFonts w:hint="eastAsia" w:ascii="宋体" w:hAnsi="宋体"/>
                <w:color w:val="auto"/>
                <w:sz w:val="24"/>
                <w:szCs w:val="24"/>
                <w:lang w:val="en-US" w:eastAsia="zh-CN"/>
              </w:rPr>
              <w:t>21</w:t>
            </w:r>
            <w:r>
              <w:rPr>
                <w:rFonts w:hint="eastAsia" w:ascii="宋体" w:hAnsi="宋体"/>
                <w:color w:val="auto"/>
                <w:sz w:val="24"/>
                <w:szCs w:val="24"/>
              </w:rPr>
              <w:t>年度，纳税信用等级评定为A级得</w:t>
            </w:r>
            <w:r>
              <w:rPr>
                <w:rFonts w:hint="eastAsia" w:ascii="宋体" w:hAnsi="宋体"/>
                <w:color w:val="auto"/>
                <w:sz w:val="24"/>
                <w:szCs w:val="24"/>
                <w:lang w:val="en-US" w:eastAsia="zh-CN"/>
              </w:rPr>
              <w:t>3</w:t>
            </w:r>
            <w:r>
              <w:rPr>
                <w:rFonts w:hint="eastAsia" w:ascii="宋体" w:hAnsi="宋体"/>
                <w:color w:val="auto"/>
                <w:sz w:val="24"/>
                <w:szCs w:val="24"/>
              </w:rPr>
              <w:t>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adjustRightInd w:val="0"/>
              <w:snapToGrid w:val="0"/>
              <w:rPr>
                <w:rFonts w:hint="default" w:ascii="宋体" w:hAnsi="宋体"/>
                <w:color w:val="000000"/>
                <w:sz w:val="21"/>
                <w:szCs w:val="21"/>
                <w:lang w:val="en-US" w:eastAsia="zh-CN"/>
              </w:rPr>
            </w:pPr>
            <w:r>
              <w:rPr>
                <w:rFonts w:hint="eastAsia" w:ascii="宋体" w:hAnsi="宋体"/>
                <w:color w:val="auto"/>
                <w:sz w:val="24"/>
                <w:szCs w:val="24"/>
              </w:rPr>
              <w:t xml:space="preserve">注：“新设立企业”指从首次在税务机关办理涉税事宜之日起时间不满一个评价年度的企业。评价年度是指公历年度，即1月1日至12月31日。 </w:t>
            </w:r>
          </w:p>
        </w:tc>
        <w:tc>
          <w:tcPr>
            <w:tcW w:w="885" w:type="dxa"/>
            <w:vAlign w:val="center"/>
          </w:tcPr>
          <w:p>
            <w:pPr>
              <w:adjustRightInd w:val="0"/>
              <w:snapToGrid w:val="0"/>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2"/>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r>
        <w:rPr>
          <w:rFonts w:hint="eastAsia" w:ascii="仿宋_GB2312" w:hAnsi="宋体" w:eastAsia="仿宋_GB2312"/>
          <w:b/>
          <w:bCs/>
          <w:color w:val="000000"/>
          <w:sz w:val="24"/>
          <w:lang w:eastAsia="zh-CN"/>
        </w:rPr>
        <w:t>，</w:t>
      </w:r>
      <w:r>
        <w:rPr>
          <w:rFonts w:hint="eastAsia" w:ascii="仿宋_GB2312" w:hAnsi="宋体" w:eastAsia="仿宋_GB2312"/>
          <w:b/>
          <w:bCs/>
          <w:color w:val="000000"/>
          <w:sz w:val="24"/>
          <w:lang w:val="en-US" w:eastAsia="zh-CN"/>
        </w:rPr>
        <w:t>不提供不得分</w:t>
      </w:r>
      <w:r>
        <w:rPr>
          <w:rFonts w:hint="eastAsia" w:ascii="仿宋_GB2312" w:hAnsi="宋体" w:eastAsia="仿宋_GB2312"/>
          <w:b/>
          <w:bCs/>
          <w:color w:val="000000"/>
          <w:sz w:val="24"/>
        </w:rPr>
        <w:t>。</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2"/>
        <w:rPr>
          <w:rFonts w:hint="eastAsia"/>
        </w:rPr>
      </w:pPr>
    </w:p>
    <w:tbl>
      <w:tblPr>
        <w:tblStyle w:val="18"/>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155"/>
        <w:gridCol w:w="7354"/>
        <w:gridCol w:w="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1155"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7354"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926"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1155" w:type="dxa"/>
            <w:noWrap w:val="0"/>
            <w:vAlign w:val="center"/>
          </w:tcPr>
          <w:p>
            <w:pPr>
              <w:adjustRightInd w:val="0"/>
              <w:snapToGrid w:val="0"/>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餐饮品牌知名程度</w:t>
            </w:r>
          </w:p>
        </w:tc>
        <w:tc>
          <w:tcPr>
            <w:tcW w:w="7354" w:type="dxa"/>
            <w:noWrap w:val="0"/>
            <w:vAlign w:val="center"/>
          </w:tcPr>
          <w:p>
            <w:pPr>
              <w:adjustRightInd w:val="0"/>
              <w:snapToGrid w:val="0"/>
              <w:rPr>
                <w:rFonts w:hint="default" w:ascii="宋体" w:hAnsi="宋体"/>
                <w:color w:val="auto"/>
                <w:sz w:val="24"/>
                <w:szCs w:val="24"/>
                <w:lang w:val="en-US" w:eastAsia="zh-CN"/>
              </w:rPr>
            </w:pPr>
            <w:r>
              <w:rPr>
                <w:rFonts w:hint="eastAsia" w:ascii="宋体" w:hAnsi="宋体"/>
                <w:color w:val="auto"/>
                <w:sz w:val="24"/>
                <w:szCs w:val="24"/>
                <w:lang w:val="en-US" w:eastAsia="zh-CN"/>
              </w:rPr>
              <w:t>品牌知名度高，市场占有率高的得8分；品牌知名度一般，市场占有率一般的得4分程度：其余得2分，不提供的则不得分</w:t>
            </w:r>
          </w:p>
        </w:tc>
        <w:tc>
          <w:tcPr>
            <w:tcW w:w="926" w:type="dxa"/>
            <w:noWrap w:val="0"/>
            <w:vAlign w:val="center"/>
          </w:tcPr>
          <w:p>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0" w:type="auto"/>
            <w:vMerge w:val="restart"/>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155" w:type="dxa"/>
            <w:vMerge w:val="restart"/>
            <w:noWrap w:val="0"/>
            <w:vAlign w:val="center"/>
          </w:tcPr>
          <w:p>
            <w:pPr>
              <w:adjustRightInd w:val="0"/>
              <w:snapToGrid w:val="0"/>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餐饮服务团队</w:t>
            </w:r>
          </w:p>
        </w:tc>
        <w:tc>
          <w:tcPr>
            <w:tcW w:w="7354" w:type="dxa"/>
            <w:noWrap w:val="0"/>
            <w:vAlign w:val="center"/>
          </w:tcPr>
          <w:p>
            <w:pPr>
              <w:adjustRightInd w:val="0"/>
              <w:snapToGrid w:val="0"/>
              <w:rPr>
                <w:rFonts w:hint="default" w:ascii="宋体" w:hAnsi="宋体"/>
                <w:color w:val="auto"/>
                <w:sz w:val="24"/>
                <w:szCs w:val="24"/>
                <w:lang w:val="en-US" w:eastAsia="zh-CN"/>
              </w:rPr>
            </w:pPr>
            <w:r>
              <w:rPr>
                <w:rFonts w:hint="eastAsia" w:ascii="宋体" w:hAnsi="宋体"/>
                <w:color w:val="auto"/>
                <w:sz w:val="24"/>
                <w:szCs w:val="24"/>
                <w:lang w:val="en-US" w:eastAsia="zh-CN"/>
              </w:rPr>
              <w:t>投标人拟投入本项目的经理人员情况：大专及以上学历、责任心强、服务意识强得4分；初中以上大专以下学历、责任心一般、服务意识一般得2分，其余得1分，不提供则不得分</w:t>
            </w:r>
          </w:p>
        </w:tc>
        <w:tc>
          <w:tcPr>
            <w:tcW w:w="926" w:type="dxa"/>
            <w:noWrap w:val="0"/>
            <w:vAlign w:val="center"/>
          </w:tcPr>
          <w:p>
            <w:pPr>
              <w:adjustRightInd w:val="0"/>
              <w:snapToGrid w:val="0"/>
              <w:jc w:val="center"/>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0" w:type="auto"/>
            <w:vMerge w:val="continue"/>
            <w:noWrap w:val="0"/>
            <w:vAlign w:val="center"/>
          </w:tcPr>
          <w:p>
            <w:pPr>
              <w:adjustRightInd w:val="0"/>
              <w:snapToGrid w:val="0"/>
              <w:rPr>
                <w:rFonts w:hint="eastAsia" w:ascii="宋体" w:hAnsi="宋体"/>
                <w:color w:val="auto"/>
                <w:sz w:val="24"/>
                <w:szCs w:val="24"/>
                <w:lang w:val="en-US" w:eastAsia="zh-CN"/>
              </w:rPr>
            </w:pPr>
          </w:p>
        </w:tc>
        <w:tc>
          <w:tcPr>
            <w:tcW w:w="1155" w:type="dxa"/>
            <w:vMerge w:val="continue"/>
            <w:noWrap w:val="0"/>
            <w:vAlign w:val="center"/>
          </w:tcPr>
          <w:p>
            <w:pPr>
              <w:adjustRightInd w:val="0"/>
              <w:snapToGrid w:val="0"/>
              <w:jc w:val="center"/>
              <w:rPr>
                <w:rFonts w:hint="eastAsia" w:ascii="宋体" w:hAnsi="宋体"/>
                <w:color w:val="auto"/>
                <w:sz w:val="24"/>
                <w:szCs w:val="24"/>
                <w:lang w:val="en-US" w:eastAsia="zh-CN"/>
              </w:rPr>
            </w:pPr>
          </w:p>
        </w:tc>
        <w:tc>
          <w:tcPr>
            <w:tcW w:w="7354" w:type="dxa"/>
            <w:noWrap w:val="0"/>
            <w:vAlign w:val="center"/>
          </w:tcPr>
          <w:p>
            <w:pPr>
              <w:adjustRightInd w:val="0"/>
              <w:snapToGrid w:val="0"/>
              <w:rPr>
                <w:rFonts w:hint="default" w:ascii="宋体" w:hAnsi="宋体"/>
                <w:color w:val="auto"/>
                <w:sz w:val="24"/>
                <w:szCs w:val="24"/>
                <w:lang w:val="en-US" w:eastAsia="zh-CN"/>
              </w:rPr>
            </w:pPr>
            <w:r>
              <w:rPr>
                <w:rFonts w:hint="eastAsia" w:ascii="宋体" w:hAnsi="宋体"/>
                <w:color w:val="auto"/>
                <w:sz w:val="24"/>
                <w:szCs w:val="24"/>
                <w:lang w:val="en-US" w:eastAsia="zh-CN"/>
              </w:rPr>
              <w:t>其他人员投入情况：人员投入多，技术实力强、责任心强，餐品出品好、评价高得4分；人员投入一般，技术实力一般，责任心一般，餐品一般、评价一般得2分，其他得1分，不提供则不得分</w:t>
            </w:r>
          </w:p>
        </w:tc>
        <w:tc>
          <w:tcPr>
            <w:tcW w:w="926" w:type="dxa"/>
            <w:noWrap w:val="0"/>
            <w:vAlign w:val="center"/>
          </w:tcPr>
          <w:p>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blHeader/>
          <w:jc w:val="center"/>
        </w:trPr>
        <w:tc>
          <w:tcPr>
            <w:tcW w:w="0" w:type="auto"/>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155" w:type="dxa"/>
            <w:noWrap w:val="0"/>
            <w:vAlign w:val="center"/>
          </w:tcPr>
          <w:p>
            <w:pPr>
              <w:adjustRightInd w:val="0"/>
              <w:snapToGrid w:val="0"/>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餐品</w:t>
            </w:r>
          </w:p>
          <w:p>
            <w:pPr>
              <w:adjustRightInd w:val="0"/>
              <w:snapToGrid w:val="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价格</w:t>
            </w:r>
          </w:p>
        </w:tc>
        <w:tc>
          <w:tcPr>
            <w:tcW w:w="7354" w:type="dxa"/>
            <w:noWrap w:val="0"/>
            <w:vAlign w:val="center"/>
          </w:tcPr>
          <w:p>
            <w:pPr>
              <w:adjustRightInd w:val="0"/>
              <w:snapToGrid w:val="0"/>
              <w:rPr>
                <w:rFonts w:hint="default" w:ascii="宋体" w:hAnsi="宋体"/>
                <w:color w:val="auto"/>
                <w:sz w:val="24"/>
                <w:szCs w:val="24"/>
                <w:lang w:val="en-US" w:eastAsia="zh-CN"/>
              </w:rPr>
            </w:pPr>
            <w:r>
              <w:rPr>
                <w:rFonts w:hint="eastAsia" w:ascii="宋体" w:hAnsi="宋体"/>
                <w:color w:val="auto"/>
                <w:sz w:val="24"/>
                <w:szCs w:val="24"/>
                <w:lang w:val="en-US" w:eastAsia="zh-CN"/>
              </w:rPr>
              <w:t>餐品价格明细总体实惠，竞争力强的得6分；餐品价格明细总体一般，竞争力一般的得3分，其他得1分，不提供则不得分</w:t>
            </w:r>
          </w:p>
        </w:tc>
        <w:tc>
          <w:tcPr>
            <w:tcW w:w="926" w:type="dxa"/>
            <w:noWrap w:val="0"/>
            <w:vAlign w:val="center"/>
          </w:tcPr>
          <w:p>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155" w:type="dxa"/>
            <w:noWrap w:val="0"/>
            <w:vAlign w:val="center"/>
          </w:tcPr>
          <w:p>
            <w:pPr>
              <w:adjustRightInd w:val="0"/>
              <w:snapToGrid w:val="0"/>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公司管理制度</w:t>
            </w:r>
          </w:p>
        </w:tc>
        <w:tc>
          <w:tcPr>
            <w:tcW w:w="7354" w:type="dxa"/>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投标人针对本项目的公司管理制度是否清晰、健全、规范，管理流程是否顺畅、高效等</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（1）公司内部管理制度非常清晰、健全、规范，管理流程非常顺畅、高效得3分</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（2）公司内部管理制度清晰、健全、规范，管理流程顺畅、高效得2分</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（3）公司内部管理制度较为清晰、健全、规范，管理流程较为顺畅、高效得1分</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（4）其余一律不得分。</w:t>
            </w:r>
          </w:p>
        </w:tc>
        <w:tc>
          <w:tcPr>
            <w:tcW w:w="926" w:type="dxa"/>
            <w:noWrap w:val="0"/>
            <w:vAlign w:val="center"/>
          </w:tcPr>
          <w:p>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5</w:t>
            </w:r>
          </w:p>
        </w:tc>
        <w:tc>
          <w:tcPr>
            <w:tcW w:w="1155" w:type="dxa"/>
            <w:noWrap w:val="0"/>
            <w:vAlign w:val="center"/>
          </w:tcPr>
          <w:p>
            <w:pPr>
              <w:adjustRightInd w:val="0"/>
              <w:snapToGrid w:val="0"/>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供餐保证措施</w:t>
            </w:r>
          </w:p>
        </w:tc>
        <w:tc>
          <w:tcPr>
            <w:tcW w:w="7354" w:type="dxa"/>
            <w:noWrap w:val="0"/>
            <w:vAlign w:val="center"/>
          </w:tcPr>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投标人针对本项目制定应急供餐保障方案等。</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（1）方案详细完整，安排科学、可行，完全适用且优于本项目用户需求得3分。</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（2）方案基本完整，安排较科学、基本可行，完全适用本项目用户需求得1.5分。</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（3）方案不完整、安排不科学、不可行，部分适用本项目用户需求得0.5分。</w:t>
            </w:r>
          </w:p>
          <w:p>
            <w:pPr>
              <w:adjustRightInd w:val="0"/>
              <w:snapToGrid w:val="0"/>
              <w:rPr>
                <w:rFonts w:hint="eastAsia" w:ascii="宋体" w:hAnsi="宋体"/>
                <w:color w:val="auto"/>
                <w:sz w:val="24"/>
                <w:szCs w:val="24"/>
                <w:lang w:val="en-US" w:eastAsia="zh-CN"/>
              </w:rPr>
            </w:pPr>
            <w:r>
              <w:rPr>
                <w:rFonts w:hint="eastAsia" w:ascii="宋体" w:hAnsi="宋体"/>
                <w:color w:val="auto"/>
                <w:sz w:val="24"/>
                <w:szCs w:val="24"/>
                <w:lang w:val="en-US" w:eastAsia="zh-CN"/>
              </w:rPr>
              <w:t>不提供不得分。</w:t>
            </w:r>
          </w:p>
        </w:tc>
        <w:tc>
          <w:tcPr>
            <w:tcW w:w="926" w:type="dxa"/>
            <w:noWrap w:val="0"/>
            <w:vAlign w:val="center"/>
          </w:tcPr>
          <w:p>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1155" w:type="dxa"/>
            <w:noWrap w:val="0"/>
            <w:vAlign w:val="center"/>
          </w:tcPr>
          <w:p>
            <w:pPr>
              <w:adjustRightInd w:val="0"/>
              <w:snapToGrid w:val="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本地化服务</w:t>
            </w:r>
          </w:p>
        </w:tc>
        <w:tc>
          <w:tcPr>
            <w:tcW w:w="7354" w:type="dxa"/>
            <w:noWrap w:val="0"/>
            <w:vAlign w:val="center"/>
          </w:tcPr>
          <w:p>
            <w:pPr>
              <w:adjustRightInd w:val="0"/>
              <w:snapToGrid w:val="0"/>
              <w:rPr>
                <w:rFonts w:hint="default" w:ascii="宋体" w:hAnsi="宋体"/>
                <w:color w:val="auto"/>
                <w:sz w:val="24"/>
                <w:szCs w:val="24"/>
                <w:lang w:val="en-US" w:eastAsia="zh-CN"/>
              </w:rPr>
            </w:pPr>
            <w:r>
              <w:rPr>
                <w:rFonts w:hint="eastAsia" w:ascii="宋体" w:hAnsi="宋体"/>
                <w:color w:val="auto"/>
                <w:sz w:val="24"/>
                <w:szCs w:val="24"/>
                <w:lang w:val="en-US" w:eastAsia="zh-CN"/>
              </w:rPr>
              <w:t>投标人总部在佛山市内或佛山市内有分支服务点</w:t>
            </w:r>
          </w:p>
        </w:tc>
        <w:tc>
          <w:tcPr>
            <w:tcW w:w="926" w:type="dxa"/>
            <w:noWrap w:val="0"/>
            <w:vAlign w:val="center"/>
          </w:tcPr>
          <w:p>
            <w:pPr>
              <w:adjustRightInd w:val="0"/>
              <w:snapToGrid w:val="0"/>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926"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30分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r>
        <w:rPr>
          <w:rFonts w:hint="eastAsia" w:ascii="仿宋_GB2312" w:hAnsi="宋体" w:eastAsia="仿宋_GB2312"/>
          <w:b/>
          <w:bCs/>
          <w:color w:val="000000"/>
          <w:sz w:val="24"/>
          <w:lang w:eastAsia="zh-CN"/>
        </w:rPr>
        <w:t>，</w:t>
      </w:r>
      <w:r>
        <w:rPr>
          <w:rFonts w:hint="eastAsia" w:ascii="仿宋_GB2312" w:hAnsi="宋体" w:eastAsia="仿宋_GB2312"/>
          <w:b/>
          <w:bCs/>
          <w:color w:val="000000"/>
          <w:sz w:val="24"/>
          <w:lang w:val="en-US" w:eastAsia="zh-CN"/>
        </w:rPr>
        <w:t>不提供则不得分</w:t>
      </w:r>
      <w:r>
        <w:rPr>
          <w:rFonts w:hint="eastAsia" w:ascii="仿宋_GB2312" w:hAnsi="宋体" w:eastAsia="仿宋_GB2312"/>
          <w:b/>
          <w:bCs/>
          <w:color w:val="000000"/>
          <w:sz w:val="24"/>
        </w:rPr>
        <w:t>。</w:t>
      </w: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2"/>
        <w:ind w:left="0" w:leftChars="0" w:firstLine="0" w:firstLineChars="0"/>
        <w:rPr>
          <w:rFonts w:hint="eastAsia" w:ascii="宋体" w:hAnsi="宋体"/>
          <w:color w:val="000000"/>
          <w:sz w:val="28"/>
          <w:szCs w:val="23"/>
        </w:rPr>
      </w:pPr>
    </w:p>
    <w:p>
      <w:pPr>
        <w:pStyle w:val="4"/>
        <w:spacing w:before="0" w:after="0" w:line="400" w:lineRule="exact"/>
        <w:jc w:val="center"/>
        <w:rPr>
          <w:rFonts w:hint="eastAsia" w:ascii="仿宋" w:hAnsi="仿宋" w:eastAsia="仿宋" w:cs="仿宋"/>
          <w:sz w:val="32"/>
        </w:rPr>
      </w:pPr>
      <w:bookmarkStart w:id="31" w:name="_Toc3833"/>
    </w:p>
    <w:p>
      <w:pPr>
        <w:pStyle w:val="4"/>
        <w:numPr>
          <w:ilvl w:val="0"/>
          <w:numId w:val="3"/>
        </w:numPr>
        <w:spacing w:before="0" w:after="0" w:line="400" w:lineRule="exact"/>
        <w:jc w:val="center"/>
        <w:rPr>
          <w:rFonts w:hint="eastAsia" w:ascii="仿宋" w:hAnsi="仿宋" w:eastAsia="仿宋" w:cs="仿宋"/>
          <w:sz w:val="32"/>
        </w:rPr>
      </w:pPr>
      <w:r>
        <w:rPr>
          <w:rFonts w:hint="eastAsia" w:ascii="仿宋" w:hAnsi="仿宋" w:eastAsia="仿宋" w:cs="仿宋"/>
          <w:sz w:val="32"/>
        </w:rPr>
        <w:t xml:space="preserve"> 合同格式及主要条款</w:t>
      </w:r>
      <w:bookmarkEnd w:id="31"/>
    </w:p>
    <w:p>
      <w:pPr>
        <w:pStyle w:val="4"/>
        <w:numPr>
          <w:ilvl w:val="0"/>
          <w:numId w:val="0"/>
        </w:numPr>
        <w:spacing w:before="0" w:after="0" w:line="400" w:lineRule="exact"/>
        <w:jc w:val="both"/>
        <w:rPr>
          <w:rFonts w:hint="eastAsia" w:ascii="仿宋" w:hAnsi="仿宋" w:eastAsia="仿宋" w:cs="仿宋"/>
          <w:sz w:val="32"/>
        </w:rPr>
      </w:pPr>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4"/>
        </w:numPr>
        <w:rPr>
          <w:rFonts w:ascii="宋体" w:hAnsi="宋体"/>
          <w:color w:val="000000"/>
          <w:sz w:val="23"/>
          <w:szCs w:val="23"/>
        </w:rPr>
      </w:pPr>
      <w:r>
        <w:rPr>
          <w:rFonts w:hint="eastAsia" w:ascii="宋体" w:hAnsi="宋体"/>
          <w:bCs/>
          <w:color w:val="000000"/>
          <w:sz w:val="23"/>
          <w:szCs w:val="23"/>
        </w:rPr>
        <w:t>组成合同的文件</w:t>
      </w:r>
    </w:p>
    <w:p>
      <w:pPr>
        <w:numPr>
          <w:ilvl w:val="0"/>
          <w:numId w:val="5"/>
        </w:numPr>
        <w:rPr>
          <w:rFonts w:ascii="宋体" w:hAnsi="宋体"/>
          <w:color w:val="000000"/>
          <w:sz w:val="23"/>
          <w:szCs w:val="23"/>
        </w:rPr>
      </w:pPr>
      <w:r>
        <w:rPr>
          <w:rFonts w:hint="eastAsia" w:ascii="宋体" w:hAnsi="宋体"/>
          <w:color w:val="000000"/>
          <w:sz w:val="23"/>
          <w:szCs w:val="23"/>
        </w:rPr>
        <w:t>本合同协议书。</w:t>
      </w:r>
    </w:p>
    <w:p>
      <w:pPr>
        <w:numPr>
          <w:ilvl w:val="0"/>
          <w:numId w:val="5"/>
        </w:numPr>
        <w:rPr>
          <w:rFonts w:ascii="宋体" w:hAnsi="宋体"/>
          <w:color w:val="000000"/>
          <w:sz w:val="23"/>
          <w:szCs w:val="23"/>
        </w:rPr>
      </w:pPr>
      <w:r>
        <w:rPr>
          <w:rFonts w:hint="eastAsia" w:ascii="宋体" w:hAnsi="宋体"/>
          <w:color w:val="000000"/>
          <w:sz w:val="23"/>
          <w:szCs w:val="23"/>
        </w:rPr>
        <w:t>中标通知书。</w:t>
      </w:r>
    </w:p>
    <w:p>
      <w:pPr>
        <w:numPr>
          <w:ilvl w:val="0"/>
          <w:numId w:val="5"/>
        </w:numPr>
        <w:rPr>
          <w:rFonts w:ascii="宋体" w:hAnsi="宋体"/>
          <w:color w:val="000000"/>
          <w:sz w:val="23"/>
          <w:szCs w:val="23"/>
        </w:rPr>
      </w:pPr>
      <w:r>
        <w:rPr>
          <w:rFonts w:hint="eastAsia" w:ascii="宋体" w:hAnsi="宋体"/>
          <w:color w:val="000000"/>
          <w:sz w:val="23"/>
          <w:szCs w:val="23"/>
        </w:rPr>
        <w:t>投标函及其附件。</w:t>
      </w:r>
    </w:p>
    <w:p>
      <w:pPr>
        <w:numPr>
          <w:ilvl w:val="0"/>
          <w:numId w:val="5"/>
        </w:numPr>
        <w:rPr>
          <w:rFonts w:ascii="宋体" w:hAnsi="宋体"/>
          <w:color w:val="000000"/>
          <w:sz w:val="23"/>
          <w:szCs w:val="23"/>
        </w:rPr>
      </w:pPr>
      <w:r>
        <w:rPr>
          <w:rFonts w:hint="eastAsia" w:ascii="宋体" w:hAnsi="宋体"/>
          <w:color w:val="000000"/>
          <w:sz w:val="23"/>
          <w:szCs w:val="23"/>
        </w:rPr>
        <w:t>招标文件。</w:t>
      </w:r>
    </w:p>
    <w:p>
      <w:pPr>
        <w:numPr>
          <w:ilvl w:val="0"/>
          <w:numId w:val="5"/>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4"/>
        </w:numPr>
        <w:rPr>
          <w:rFonts w:ascii="宋体" w:hAnsi="宋体"/>
          <w:color w:val="000000"/>
          <w:sz w:val="23"/>
          <w:szCs w:val="23"/>
        </w:rPr>
      </w:pPr>
      <w:r>
        <w:rPr>
          <w:rFonts w:hint="eastAsia" w:ascii="宋体" w:hAnsi="宋体"/>
          <w:color w:val="000000"/>
          <w:sz w:val="23"/>
          <w:szCs w:val="23"/>
        </w:rPr>
        <w:t>合同标的</w:t>
      </w:r>
    </w:p>
    <w:p>
      <w:pPr>
        <w:numPr>
          <w:ilvl w:val="0"/>
          <w:numId w:val="6"/>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6"/>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6"/>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6"/>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6"/>
        </w:numPr>
        <w:rPr>
          <w:rFonts w:ascii="宋体" w:hAnsi="宋体"/>
          <w:color w:val="000000"/>
          <w:sz w:val="23"/>
          <w:szCs w:val="23"/>
        </w:rPr>
      </w:pPr>
      <w:r>
        <w:rPr>
          <w:rFonts w:hint="eastAsia" w:ascii="宋体" w:hAnsi="宋体"/>
          <w:color w:val="000000"/>
          <w:sz w:val="23"/>
          <w:szCs w:val="23"/>
        </w:rPr>
        <w:t>其它约定：。</w:t>
      </w:r>
    </w:p>
    <w:p>
      <w:pPr>
        <w:numPr>
          <w:ilvl w:val="0"/>
          <w:numId w:val="4"/>
        </w:numPr>
        <w:rPr>
          <w:rFonts w:ascii="宋体" w:hAnsi="宋体"/>
          <w:color w:val="000000"/>
          <w:sz w:val="23"/>
          <w:szCs w:val="23"/>
        </w:rPr>
      </w:pPr>
      <w:r>
        <w:rPr>
          <w:rFonts w:hint="eastAsia" w:ascii="宋体" w:hAnsi="宋体"/>
          <w:color w:val="000000"/>
          <w:sz w:val="23"/>
          <w:szCs w:val="23"/>
        </w:rPr>
        <w:t>结算方式</w:t>
      </w:r>
    </w:p>
    <w:p>
      <w:pPr>
        <w:numPr>
          <w:ilvl w:val="0"/>
          <w:numId w:val="7"/>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7"/>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7"/>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4"/>
        </w:numPr>
        <w:rPr>
          <w:rFonts w:ascii="宋体" w:hAnsi="宋体"/>
          <w:color w:val="000000"/>
          <w:sz w:val="23"/>
          <w:szCs w:val="23"/>
        </w:rPr>
      </w:pPr>
      <w:r>
        <w:rPr>
          <w:rFonts w:hint="eastAsia" w:ascii="宋体" w:hAnsi="宋体"/>
          <w:color w:val="000000"/>
          <w:sz w:val="23"/>
          <w:szCs w:val="23"/>
        </w:rPr>
        <w:t>付款方式</w:t>
      </w:r>
    </w:p>
    <w:p>
      <w:pPr>
        <w:numPr>
          <w:ilvl w:val="0"/>
          <w:numId w:val="8"/>
        </w:numPr>
        <w:rPr>
          <w:rFonts w:ascii="宋体" w:hAnsi="宋体"/>
          <w:color w:val="000000"/>
          <w:sz w:val="23"/>
          <w:szCs w:val="23"/>
        </w:rPr>
      </w:pPr>
      <w:r>
        <w:rPr>
          <w:rFonts w:hint="eastAsia" w:ascii="宋体" w:hAnsi="宋体"/>
          <w:color w:val="000000"/>
          <w:sz w:val="23"/>
          <w:szCs w:val="23"/>
        </w:rPr>
        <w:t>一次性付款。</w:t>
      </w:r>
    </w:p>
    <w:p>
      <w:pPr>
        <w:numPr>
          <w:ilvl w:val="0"/>
          <w:numId w:val="8"/>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4"/>
        </w:numPr>
        <w:rPr>
          <w:rFonts w:ascii="宋体" w:hAnsi="宋体"/>
          <w:color w:val="000000"/>
          <w:sz w:val="23"/>
          <w:szCs w:val="23"/>
        </w:rPr>
      </w:pPr>
      <w:r>
        <w:rPr>
          <w:rFonts w:hint="eastAsia" w:ascii="宋体" w:hAnsi="宋体"/>
          <w:bCs/>
          <w:color w:val="000000"/>
          <w:sz w:val="23"/>
          <w:szCs w:val="23"/>
        </w:rPr>
        <w:t>履约要求</w:t>
      </w:r>
    </w:p>
    <w:p>
      <w:pPr>
        <w:numPr>
          <w:ilvl w:val="0"/>
          <w:numId w:val="9"/>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9"/>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9"/>
        </w:numPr>
        <w:rPr>
          <w:rFonts w:ascii="宋体" w:hAnsi="宋体"/>
          <w:color w:val="000000"/>
          <w:sz w:val="23"/>
          <w:szCs w:val="23"/>
        </w:rPr>
      </w:pPr>
      <w:r>
        <w:rPr>
          <w:rFonts w:hint="eastAsia" w:ascii="宋体" w:hAnsi="宋体"/>
          <w:color w:val="000000"/>
          <w:sz w:val="23"/>
          <w:szCs w:val="23"/>
        </w:rPr>
        <w:t>质量要求：。</w:t>
      </w:r>
    </w:p>
    <w:p>
      <w:pPr>
        <w:numPr>
          <w:ilvl w:val="0"/>
          <w:numId w:val="9"/>
        </w:numPr>
        <w:rPr>
          <w:rFonts w:ascii="宋体" w:hAnsi="宋体"/>
          <w:color w:val="000000"/>
          <w:sz w:val="23"/>
          <w:szCs w:val="23"/>
        </w:rPr>
      </w:pPr>
      <w:r>
        <w:rPr>
          <w:rFonts w:hint="eastAsia" w:ascii="宋体" w:hAnsi="宋体"/>
          <w:color w:val="000000"/>
          <w:sz w:val="23"/>
          <w:szCs w:val="23"/>
        </w:rPr>
        <w:t>验收标准：。</w:t>
      </w:r>
    </w:p>
    <w:p>
      <w:pPr>
        <w:numPr>
          <w:ilvl w:val="0"/>
          <w:numId w:val="9"/>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bCs/>
          <w:color w:val="000000"/>
          <w:sz w:val="23"/>
          <w:szCs w:val="23"/>
        </w:rPr>
        <w:t>履约保证金</w:t>
      </w:r>
    </w:p>
    <w:p>
      <w:pPr>
        <w:numPr>
          <w:ilvl w:val="0"/>
          <w:numId w:val="10"/>
        </w:numPr>
        <w:rPr>
          <w:rFonts w:ascii="宋体" w:hAnsi="宋体"/>
          <w:color w:val="000000"/>
          <w:sz w:val="23"/>
          <w:szCs w:val="23"/>
        </w:rPr>
      </w:pPr>
      <w:r>
        <w:rPr>
          <w:rFonts w:hint="eastAsia" w:ascii="宋体" w:hAnsi="宋体"/>
          <w:color w:val="000000"/>
          <w:sz w:val="23"/>
          <w:szCs w:val="23"/>
        </w:rPr>
        <w:t>金额：。</w:t>
      </w:r>
    </w:p>
    <w:p>
      <w:pPr>
        <w:numPr>
          <w:ilvl w:val="0"/>
          <w:numId w:val="10"/>
        </w:numPr>
        <w:rPr>
          <w:rFonts w:ascii="宋体" w:hAnsi="宋体"/>
          <w:color w:val="000000"/>
          <w:sz w:val="23"/>
          <w:szCs w:val="23"/>
        </w:rPr>
      </w:pPr>
      <w:r>
        <w:rPr>
          <w:rFonts w:hint="eastAsia" w:ascii="宋体" w:hAnsi="宋体"/>
          <w:color w:val="000000"/>
          <w:sz w:val="23"/>
          <w:szCs w:val="23"/>
        </w:rPr>
        <w:t>交纳方式：。</w:t>
      </w:r>
    </w:p>
    <w:p>
      <w:pPr>
        <w:numPr>
          <w:ilvl w:val="0"/>
          <w:numId w:val="10"/>
        </w:numPr>
        <w:rPr>
          <w:rFonts w:ascii="宋体" w:hAnsi="宋体"/>
          <w:color w:val="000000"/>
          <w:sz w:val="23"/>
          <w:szCs w:val="23"/>
        </w:rPr>
      </w:pPr>
      <w:r>
        <w:rPr>
          <w:rFonts w:hint="eastAsia" w:ascii="宋体" w:hAnsi="宋体"/>
          <w:color w:val="000000"/>
          <w:sz w:val="23"/>
          <w:szCs w:val="23"/>
        </w:rPr>
        <w:t>用途：。</w:t>
      </w:r>
    </w:p>
    <w:p>
      <w:pPr>
        <w:numPr>
          <w:ilvl w:val="0"/>
          <w:numId w:val="10"/>
        </w:numPr>
        <w:rPr>
          <w:rFonts w:ascii="宋体" w:hAnsi="宋体"/>
          <w:color w:val="000000"/>
          <w:sz w:val="23"/>
          <w:szCs w:val="23"/>
        </w:rPr>
      </w:pPr>
      <w:r>
        <w:rPr>
          <w:rFonts w:hint="eastAsia" w:ascii="宋体" w:hAnsi="宋体"/>
          <w:color w:val="000000"/>
          <w:sz w:val="23"/>
          <w:szCs w:val="23"/>
        </w:rPr>
        <w:t>退回条件：。</w:t>
      </w:r>
    </w:p>
    <w:p>
      <w:pPr>
        <w:numPr>
          <w:ilvl w:val="0"/>
          <w:numId w:val="4"/>
        </w:numPr>
        <w:rPr>
          <w:rFonts w:ascii="宋体" w:hAnsi="宋体"/>
          <w:color w:val="000000"/>
          <w:sz w:val="23"/>
          <w:szCs w:val="23"/>
        </w:rPr>
      </w:pPr>
      <w:r>
        <w:rPr>
          <w:rFonts w:hint="eastAsia" w:ascii="宋体" w:hAnsi="宋体"/>
          <w:color w:val="000000"/>
          <w:sz w:val="23"/>
          <w:szCs w:val="23"/>
        </w:rPr>
        <w:t>甲方的权利与义务</w:t>
      </w:r>
    </w:p>
    <w:p>
      <w:pPr>
        <w:numPr>
          <w:ilvl w:val="0"/>
          <w:numId w:val="11"/>
        </w:numPr>
        <w:rPr>
          <w:rFonts w:ascii="宋体" w:hAnsi="宋体"/>
          <w:color w:val="000000"/>
          <w:sz w:val="23"/>
          <w:szCs w:val="23"/>
        </w:rPr>
      </w:pPr>
      <w:r>
        <w:rPr>
          <w:rFonts w:hint="eastAsia" w:ascii="宋体" w:hAnsi="宋体"/>
          <w:color w:val="000000"/>
          <w:sz w:val="23"/>
          <w:szCs w:val="23"/>
        </w:rPr>
        <w:t>双方的约定：。</w:t>
      </w:r>
    </w:p>
    <w:p>
      <w:pPr>
        <w:numPr>
          <w:ilvl w:val="0"/>
          <w:numId w:val="11"/>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4"/>
        </w:numPr>
        <w:rPr>
          <w:rFonts w:ascii="宋体" w:hAnsi="宋体"/>
          <w:color w:val="000000"/>
          <w:sz w:val="23"/>
          <w:szCs w:val="23"/>
        </w:rPr>
      </w:pPr>
      <w:r>
        <w:rPr>
          <w:rFonts w:hint="eastAsia" w:ascii="宋体" w:hAnsi="宋体"/>
          <w:color w:val="000000"/>
          <w:sz w:val="23"/>
          <w:szCs w:val="23"/>
        </w:rPr>
        <w:t>乙方的权利与义务</w:t>
      </w:r>
    </w:p>
    <w:p>
      <w:pPr>
        <w:numPr>
          <w:ilvl w:val="0"/>
          <w:numId w:val="12"/>
        </w:numPr>
        <w:rPr>
          <w:rFonts w:ascii="宋体" w:hAnsi="宋体"/>
          <w:color w:val="000000"/>
          <w:sz w:val="23"/>
          <w:szCs w:val="23"/>
        </w:rPr>
      </w:pPr>
      <w:r>
        <w:rPr>
          <w:rFonts w:hint="eastAsia" w:ascii="宋体" w:hAnsi="宋体"/>
          <w:color w:val="000000"/>
          <w:sz w:val="23"/>
          <w:szCs w:val="23"/>
        </w:rPr>
        <w:t>双方的约定：。</w:t>
      </w:r>
    </w:p>
    <w:p>
      <w:pPr>
        <w:numPr>
          <w:ilvl w:val="0"/>
          <w:numId w:val="12"/>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4"/>
        </w:numPr>
        <w:rPr>
          <w:rFonts w:ascii="宋体" w:hAnsi="宋体"/>
          <w:color w:val="000000"/>
          <w:sz w:val="23"/>
          <w:szCs w:val="23"/>
        </w:rPr>
      </w:pPr>
      <w:r>
        <w:rPr>
          <w:rFonts w:hint="eastAsia" w:ascii="宋体" w:hAnsi="宋体"/>
          <w:color w:val="000000"/>
          <w:sz w:val="23"/>
          <w:szCs w:val="23"/>
        </w:rPr>
        <w:t>违约处罚</w:t>
      </w:r>
    </w:p>
    <w:p>
      <w:pPr>
        <w:numPr>
          <w:ilvl w:val="0"/>
          <w:numId w:val="13"/>
        </w:numPr>
        <w:rPr>
          <w:rFonts w:ascii="宋体" w:hAnsi="宋体"/>
          <w:color w:val="000000"/>
          <w:sz w:val="23"/>
          <w:szCs w:val="23"/>
        </w:rPr>
      </w:pPr>
      <w:r>
        <w:rPr>
          <w:rFonts w:hint="eastAsia" w:ascii="宋体" w:hAnsi="宋体"/>
          <w:color w:val="000000"/>
          <w:sz w:val="23"/>
          <w:szCs w:val="23"/>
        </w:rPr>
        <w:t>双方的约定：。</w:t>
      </w:r>
    </w:p>
    <w:p>
      <w:pPr>
        <w:numPr>
          <w:ilvl w:val="0"/>
          <w:numId w:val="4"/>
        </w:numPr>
        <w:rPr>
          <w:rFonts w:ascii="宋体" w:hAnsi="宋体"/>
          <w:color w:val="000000"/>
          <w:sz w:val="23"/>
          <w:szCs w:val="23"/>
        </w:rPr>
      </w:pPr>
      <w:r>
        <w:rPr>
          <w:rFonts w:hint="eastAsia" w:ascii="宋体" w:hAnsi="宋体"/>
          <w:color w:val="000000"/>
          <w:sz w:val="23"/>
          <w:szCs w:val="23"/>
        </w:rPr>
        <w:t>免责条款</w:t>
      </w:r>
    </w:p>
    <w:p>
      <w:pPr>
        <w:numPr>
          <w:ilvl w:val="0"/>
          <w:numId w:val="14"/>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14"/>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14"/>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争议的解决</w:t>
      </w:r>
    </w:p>
    <w:p>
      <w:pPr>
        <w:numPr>
          <w:ilvl w:val="0"/>
          <w:numId w:val="15"/>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15"/>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4"/>
        </w:numPr>
        <w:rPr>
          <w:rFonts w:ascii="宋体" w:hAnsi="宋体"/>
          <w:color w:val="000000"/>
          <w:sz w:val="23"/>
          <w:szCs w:val="23"/>
        </w:rPr>
      </w:pPr>
      <w:r>
        <w:rPr>
          <w:rFonts w:hint="eastAsia" w:ascii="宋体" w:hAnsi="宋体"/>
          <w:bCs/>
          <w:color w:val="000000"/>
          <w:sz w:val="23"/>
          <w:szCs w:val="23"/>
        </w:rPr>
        <w:t>合同生效</w:t>
      </w:r>
    </w:p>
    <w:p>
      <w:pPr>
        <w:numPr>
          <w:ilvl w:val="0"/>
          <w:numId w:val="16"/>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4"/>
        </w:numPr>
        <w:rPr>
          <w:rFonts w:ascii="宋体" w:hAnsi="宋体"/>
          <w:color w:val="000000"/>
          <w:sz w:val="23"/>
          <w:szCs w:val="23"/>
        </w:rPr>
      </w:pPr>
      <w:r>
        <w:rPr>
          <w:rFonts w:hint="eastAsia" w:ascii="宋体" w:hAnsi="宋体"/>
          <w:bCs/>
          <w:color w:val="000000"/>
          <w:sz w:val="23"/>
          <w:szCs w:val="23"/>
        </w:rPr>
        <w:t>合同的解除</w:t>
      </w:r>
    </w:p>
    <w:p>
      <w:pPr>
        <w:numPr>
          <w:ilvl w:val="0"/>
          <w:numId w:val="17"/>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17"/>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附则</w:t>
      </w:r>
    </w:p>
    <w:p>
      <w:pPr>
        <w:numPr>
          <w:ilvl w:val="0"/>
          <w:numId w:val="18"/>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18"/>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18"/>
        </w:numPr>
        <w:rPr>
          <w:rFonts w:ascii="宋体" w:hAnsi="宋体"/>
          <w:color w:val="000000"/>
          <w:sz w:val="23"/>
          <w:szCs w:val="23"/>
        </w:rPr>
      </w:pPr>
      <w:r>
        <w:rPr>
          <w:rFonts w:hint="eastAsia" w:ascii="宋体" w:hAnsi="宋体"/>
          <w:color w:val="000000"/>
          <w:sz w:val="23"/>
          <w:szCs w:val="23"/>
        </w:rPr>
        <w:t>双方的其它约定：。</w:t>
      </w:r>
    </w:p>
    <w:p>
      <w:pPr>
        <w:numPr>
          <w:ilvl w:val="0"/>
          <w:numId w:val="4"/>
        </w:numPr>
        <w:rPr>
          <w:rFonts w:ascii="宋体" w:hAnsi="宋体"/>
          <w:color w:val="000000"/>
          <w:sz w:val="23"/>
          <w:szCs w:val="23"/>
        </w:rPr>
      </w:pPr>
      <w:r>
        <w:rPr>
          <w:rFonts w:hint="eastAsia" w:ascii="宋体" w:hAnsi="宋体"/>
          <w:color w:val="000000"/>
          <w:sz w:val="23"/>
          <w:szCs w:val="23"/>
        </w:rPr>
        <w:t>合同附件</w:t>
      </w:r>
    </w:p>
    <w:p>
      <w:pPr>
        <w:numPr>
          <w:ilvl w:val="0"/>
          <w:numId w:val="19"/>
        </w:numPr>
        <w:rPr>
          <w:rFonts w:ascii="宋体" w:hAnsi="宋体"/>
          <w:color w:val="000000"/>
          <w:sz w:val="23"/>
          <w:szCs w:val="23"/>
        </w:rPr>
      </w:pPr>
      <w:r>
        <w:rPr>
          <w:rFonts w:hint="eastAsia" w:ascii="宋体" w:hAnsi="宋体"/>
          <w:color w:val="000000"/>
          <w:sz w:val="23"/>
          <w:szCs w:val="23"/>
        </w:rPr>
        <w:t>附件一：价格明细清单。</w:t>
      </w:r>
    </w:p>
    <w:p>
      <w:pPr>
        <w:numPr>
          <w:ilvl w:val="0"/>
          <w:numId w:val="19"/>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19"/>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18"/>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ind w:left="0" w:leftChars="0" w:firstLine="0" w:firstLineChars="0"/>
        <w:jc w:val="center"/>
        <w:rPr>
          <w:rFonts w:ascii="宋体" w:hAnsi="宋体"/>
          <w:color w:val="000000"/>
          <w:sz w:val="28"/>
          <w:szCs w:val="23"/>
        </w:rPr>
      </w:pPr>
      <w:r>
        <w:rPr>
          <w:b w:val="0"/>
          <w:color w:val="000000"/>
          <w:sz w:val="23"/>
          <w:szCs w:val="23"/>
        </w:rPr>
        <w:br w:type="page"/>
      </w:r>
      <w:bookmarkStart w:id="32" w:name="_Toc20964"/>
      <w:bookmarkStart w:id="33" w:name="_Toc298242764"/>
      <w:r>
        <w:rPr>
          <w:rFonts w:hint="eastAsia" w:ascii="仿宋" w:hAnsi="仿宋" w:eastAsia="仿宋" w:cs="仿宋"/>
          <w:b/>
          <w:bCs/>
          <w:kern w:val="2"/>
          <w:sz w:val="32"/>
          <w:szCs w:val="32"/>
          <w:lang w:val="en-US" w:eastAsia="zh-CN" w:bidi="ar-SA"/>
        </w:rPr>
        <w:t>第七部分  投标文件格式</w:t>
      </w:r>
      <w:bookmarkEnd w:id="32"/>
      <w:bookmarkEnd w:id="33"/>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0"/>
        </w:numPr>
        <w:bidi w:val="0"/>
        <w:ind w:leftChars="0"/>
      </w:pPr>
      <w:bookmarkStart w:id="34" w:name="_Toc26404"/>
      <w:r>
        <w:rPr>
          <w:rFonts w:hint="eastAsia"/>
          <w:lang w:val="en-US" w:eastAsia="zh-CN"/>
        </w:rPr>
        <w:t xml:space="preserve">7.1 </w:t>
      </w:r>
      <w:r>
        <w:rPr>
          <w:rFonts w:hint="eastAsia"/>
        </w:rPr>
        <w:t>投标函</w:t>
      </w:r>
      <w:bookmarkEnd w:id="34"/>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w:t>
      </w:r>
      <w:r>
        <w:rPr>
          <w:rFonts w:hint="eastAsia" w:ascii="宋体" w:hAnsi="宋体"/>
          <w:color w:val="000000"/>
          <w:kern w:val="28"/>
          <w:sz w:val="23"/>
          <w:szCs w:val="23"/>
          <w:u w:val="single"/>
          <w:lang w:val="en-US" w:eastAsia="zh-CN"/>
        </w:rPr>
        <w:t xml:space="preserve">  </w:t>
      </w:r>
      <w:r>
        <w:rPr>
          <w:rFonts w:hint="eastAsia" w:ascii="宋体" w:hAnsi="宋体"/>
          <w:color w:val="000000"/>
          <w:kern w:val="28"/>
          <w:sz w:val="23"/>
          <w:szCs w:val="23"/>
          <w:u w:val="single"/>
        </w:rPr>
        <w:t>项目</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5" w:name="OLE_LINK4"/>
      <w:r>
        <w:rPr>
          <w:rFonts w:hint="eastAsia" w:ascii="宋体" w:hAnsi="宋体"/>
          <w:color w:val="000000"/>
          <w:sz w:val="23"/>
          <w:szCs w:val="23"/>
        </w:rPr>
        <w:t>副本</w:t>
      </w:r>
      <w:bookmarkEnd w:id="35"/>
      <w:r>
        <w:rPr>
          <w:rFonts w:hint="eastAsia" w:ascii="宋体" w:hAnsi="宋体"/>
          <w:b/>
          <w:bCs/>
          <w:color w:val="FF0000"/>
          <w:sz w:val="23"/>
          <w:szCs w:val="23"/>
          <w:u w:val="single"/>
        </w:rPr>
        <w:t>4</w:t>
      </w:r>
      <w:r>
        <w:rPr>
          <w:rFonts w:hint="eastAsia" w:ascii="宋体" w:hAnsi="宋体"/>
          <w:color w:val="000000"/>
          <w:sz w:val="23"/>
          <w:szCs w:val="23"/>
        </w:rPr>
        <w:t>套，投标文件包括如下内容：</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0"/>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1"/>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1"/>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hint="default" w:ascii="宋体" w:hAnsi="宋体" w:eastAsia="宋体"/>
          <w:sz w:val="23"/>
          <w:szCs w:val="23"/>
          <w:u w:val="single"/>
          <w:lang w:val="en-US" w:eastAsia="zh-CN"/>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r>
        <w:rPr>
          <w:rFonts w:hint="eastAsia" w:ascii="宋体" w:hAnsi="宋体"/>
          <w:sz w:val="23"/>
          <w:szCs w:val="23"/>
          <w:u w:val="single"/>
          <w:lang w:val="en-US" w:eastAsia="zh-CN"/>
        </w:rPr>
        <w:t xml:space="preserve">                      </w:t>
      </w:r>
    </w:p>
    <w:p>
      <w:pPr>
        <w:spacing w:line="440" w:lineRule="exact"/>
        <w:ind w:firstLine="230" w:firstLineChars="100"/>
        <w:rPr>
          <w:rFonts w:ascii="宋体" w:hAnsi="宋体"/>
          <w:sz w:val="23"/>
          <w:szCs w:val="23"/>
          <w:u w:val="single"/>
        </w:rPr>
      </w:pPr>
      <w:r>
        <w:rPr>
          <w:rFonts w:hint="eastAsia" w:ascii="宋体" w:hAnsi="宋体"/>
          <w:sz w:val="23"/>
          <w:szCs w:val="23"/>
        </w:rPr>
        <w:t>地    址：</w:t>
      </w:r>
      <w:r>
        <w:rPr>
          <w:rFonts w:hint="eastAsia" w:ascii="宋体" w:hAnsi="宋体"/>
          <w:sz w:val="23"/>
          <w:szCs w:val="23"/>
          <w:u w:val="single"/>
          <w:lang w:val="en-US" w:eastAsia="zh-CN"/>
        </w:rPr>
        <w:t xml:space="preserve">                           </w:t>
      </w:r>
      <w:r>
        <w:rPr>
          <w:rFonts w:hint="eastAsia" w:ascii="宋体" w:hAnsi="宋体"/>
          <w:sz w:val="23"/>
          <w:szCs w:val="23"/>
        </w:rPr>
        <w:t>邮政编码：</w:t>
      </w:r>
      <w:r>
        <w:rPr>
          <w:rFonts w:hint="eastAsia" w:ascii="宋体" w:hAnsi="宋体"/>
          <w:sz w:val="23"/>
          <w:szCs w:val="23"/>
          <w:u w:val="single"/>
          <w:lang w:val="en-US" w:eastAsia="zh-CN"/>
        </w:rPr>
        <w:t xml:space="preserve">                      </w:t>
      </w:r>
    </w:p>
    <w:p>
      <w:pPr>
        <w:spacing w:line="440" w:lineRule="exact"/>
        <w:rPr>
          <w:rFonts w:hint="default" w:ascii="宋体" w:hAnsi="宋体" w:eastAsia="宋体"/>
          <w:sz w:val="23"/>
          <w:szCs w:val="23"/>
          <w:u w:val="single"/>
          <w:lang w:val="en-US" w:eastAsia="zh-CN"/>
        </w:rPr>
      </w:pPr>
      <w:r>
        <w:rPr>
          <w:rFonts w:hint="eastAsia" w:ascii="宋体" w:hAnsi="宋体"/>
          <w:sz w:val="23"/>
          <w:szCs w:val="23"/>
        </w:rPr>
        <w:t xml:space="preserve">  代表姓名：</w:t>
      </w:r>
      <w:r>
        <w:rPr>
          <w:rFonts w:hint="eastAsia" w:ascii="宋体" w:hAnsi="宋体"/>
          <w:sz w:val="23"/>
          <w:szCs w:val="23"/>
          <w:u w:val="single"/>
          <w:lang w:val="en-US" w:eastAsia="zh-CN"/>
        </w:rPr>
        <w:t xml:space="preserve">                           </w:t>
      </w:r>
      <w:r>
        <w:rPr>
          <w:rFonts w:hint="eastAsia" w:ascii="宋体" w:hAnsi="宋体"/>
          <w:sz w:val="23"/>
          <w:szCs w:val="23"/>
        </w:rPr>
        <w:t>职    务：</w:t>
      </w:r>
      <w:r>
        <w:rPr>
          <w:rFonts w:hint="eastAsia" w:ascii="宋体" w:hAnsi="宋体"/>
          <w:sz w:val="23"/>
          <w:szCs w:val="23"/>
          <w:u w:val="single"/>
          <w:lang w:val="en-US" w:eastAsia="zh-CN"/>
        </w:rPr>
        <w:t xml:space="preserve">                      </w:t>
      </w:r>
    </w:p>
    <w:p>
      <w:pPr>
        <w:spacing w:line="440" w:lineRule="exact"/>
        <w:rPr>
          <w:rFonts w:ascii="宋体" w:hAnsi="宋体"/>
          <w:sz w:val="23"/>
          <w:szCs w:val="23"/>
          <w:u w:val="single"/>
        </w:rPr>
      </w:pP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pPr>
      <w:r>
        <w:rPr>
          <w:rFonts w:hint="eastAsia" w:ascii="宋体" w:hAnsi="宋体"/>
          <w:color w:val="000000"/>
          <w:sz w:val="23"/>
          <w:szCs w:val="23"/>
        </w:rPr>
        <w:br w:type="page"/>
      </w:r>
      <w:bookmarkStart w:id="36" w:name="_Toc298242766"/>
      <w:bookmarkStart w:id="37" w:name="_Toc20173"/>
      <w:r>
        <w:rPr>
          <w:rFonts w:hint="eastAsia" w:ascii="宋体" w:hAnsi="宋体"/>
          <w:b/>
          <w:bCs/>
          <w:color w:val="000000"/>
          <w:sz w:val="28"/>
          <w:szCs w:val="28"/>
          <w:lang w:val="en-US" w:eastAsia="zh-CN"/>
        </w:rPr>
        <w:t xml:space="preserve">7.2 </w:t>
      </w:r>
      <w:r>
        <w:rPr>
          <w:rFonts w:hint="eastAsia" w:ascii="宋体" w:hAnsi="宋体"/>
          <w:b/>
          <w:bCs/>
          <w:color w:val="000000"/>
          <w:sz w:val="28"/>
          <w:szCs w:val="28"/>
        </w:rPr>
        <w:t>价格文件</w:t>
      </w:r>
      <w:bookmarkEnd w:id="36"/>
      <w:bookmarkEnd w:id="37"/>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1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佛山校区第三食堂公开引进特色餐饮服务项目</w:t>
            </w:r>
          </w:p>
        </w:tc>
      </w:tr>
      <w:tr>
        <w:tblPrEx>
          <w:tblCellMar>
            <w:top w:w="0" w:type="dxa"/>
            <w:left w:w="30" w:type="dxa"/>
            <w:bottom w:w="0" w:type="dxa"/>
            <w:right w:w="30" w:type="dxa"/>
          </w:tblCellMar>
        </w:tblPrEx>
        <w:trPr>
          <w:cantSplit/>
          <w:trHeight w:val="322"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b/>
                <w:color w:val="000000"/>
                <w:sz w:val="24"/>
              </w:rPr>
            </w:pPr>
            <w:r>
              <w:rPr>
                <w:rFonts w:hint="eastAsia" w:ascii="宋体" w:hAnsi="宋体"/>
                <w:b/>
                <w:color w:val="000000"/>
                <w:sz w:val="24"/>
              </w:rPr>
              <w:t>年度投标报价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b/>
                <w:color w:val="000000"/>
                <w:kern w:val="0"/>
                <w:sz w:val="24"/>
                <w:u w:val="none"/>
              </w:rPr>
            </w:pPr>
            <w:r>
              <w:rPr>
                <w:rFonts w:hint="eastAsia" w:ascii="宋体" w:hAnsi="宋体"/>
                <w:b/>
                <w:color w:val="000000"/>
                <w:kern w:val="0"/>
                <w:sz w:val="24"/>
                <w:u w:val="none"/>
              </w:rPr>
              <w:t xml:space="preserve">  </w:t>
            </w:r>
          </w:p>
          <w:p>
            <w:pPr>
              <w:autoSpaceDE w:val="0"/>
              <w:autoSpaceDN w:val="0"/>
              <w:adjustRightInd w:val="0"/>
              <w:spacing w:line="480" w:lineRule="exact"/>
              <w:jc w:val="left"/>
              <w:rPr>
                <w:rFonts w:hint="eastAsia"/>
                <w:b/>
                <w:color w:val="000000"/>
                <w:sz w:val="24"/>
              </w:rPr>
            </w:pPr>
            <w:r>
              <w:rPr>
                <w:rFonts w:hint="eastAsia" w:ascii="宋体" w:hAnsi="宋体"/>
                <w:b/>
                <w:color w:val="000000"/>
                <w:kern w:val="0"/>
                <w:sz w:val="24"/>
                <w:u w:val="none"/>
              </w:rPr>
              <w:t xml:space="preserve"> </w:t>
            </w:r>
            <w:r>
              <w:rPr>
                <w:rFonts w:hint="eastAsia" w:ascii="宋体" w:hAnsi="宋体"/>
                <w:b/>
                <w:color w:val="000000"/>
                <w:kern w:val="0"/>
                <w:sz w:val="24"/>
                <w:u w:val="none"/>
                <w:lang w:val="en-US" w:eastAsia="zh-CN"/>
              </w:rPr>
              <w:t xml:space="preserve">   </w:t>
            </w:r>
            <w:r>
              <w:rPr>
                <w:rFonts w:hint="eastAsia" w:ascii="宋体" w:hAnsi="宋体"/>
                <w:b/>
                <w:color w:val="000000"/>
                <w:kern w:val="0"/>
                <w:sz w:val="24"/>
                <w:u w:val="single"/>
              </w:rPr>
              <w:t xml:space="preserve">￥                       </w:t>
            </w:r>
            <w:r>
              <w:rPr>
                <w:rFonts w:hint="eastAsia" w:ascii="宋体" w:hAnsi="宋体"/>
                <w:b/>
                <w:color w:val="000000"/>
                <w:sz w:val="24"/>
              </w:rPr>
              <w:t>元/年</w:t>
            </w:r>
          </w:p>
        </w:tc>
      </w:tr>
      <w:tr>
        <w:tblPrEx>
          <w:tblCellMar>
            <w:top w:w="0" w:type="dxa"/>
            <w:left w:w="30" w:type="dxa"/>
            <w:bottom w:w="0" w:type="dxa"/>
            <w:right w:w="30" w:type="dxa"/>
          </w:tblCellMar>
        </w:tblPrEx>
        <w:trPr>
          <w:cantSplit/>
          <w:trHeight w:val="322"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b/>
                <w:color w:val="000000"/>
                <w:sz w:val="24"/>
                <w:u w:val="single"/>
                <w:lang w:val="en-US" w:eastAsia="zh-CN"/>
              </w:rPr>
            </w:pPr>
          </w:p>
          <w:p>
            <w:pPr>
              <w:autoSpaceDE w:val="0"/>
              <w:autoSpaceDN w:val="0"/>
              <w:adjustRightInd w:val="0"/>
              <w:spacing w:line="480" w:lineRule="exact"/>
              <w:ind w:firstLine="482" w:firstLineChars="200"/>
              <w:jc w:val="left"/>
              <w:rPr>
                <w:rFonts w:hint="eastAsia"/>
                <w:b/>
                <w:color w:val="000000"/>
                <w:sz w:val="24"/>
              </w:rPr>
            </w:pPr>
            <w:r>
              <w:rPr>
                <w:rFonts w:hint="eastAsia" w:ascii="宋体"/>
                <w:b/>
                <w:color w:val="000000"/>
                <w:sz w:val="24"/>
                <w:u w:val="single"/>
              </w:rPr>
              <w:t xml:space="preserve">大写：                             </w:t>
            </w:r>
            <w:r>
              <w:rPr>
                <w:rFonts w:hint="eastAsia" w:ascii="宋体"/>
                <w:b/>
                <w:color w:val="000000"/>
                <w:sz w:val="24"/>
                <w:u w:val="none"/>
              </w:rPr>
              <w:t xml:space="preserve">          </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w:t>
            </w:r>
            <w:r>
              <w:rPr>
                <w:rFonts w:hint="eastAsia"/>
                <w:b/>
                <w:color w:val="000000"/>
                <w:sz w:val="24"/>
                <w:lang w:val="en-US" w:eastAsia="zh-CN"/>
              </w:rPr>
              <w:t>报</w:t>
            </w:r>
            <w:r>
              <w:rPr>
                <w:rFonts w:hint="eastAsia"/>
                <w:b/>
                <w:color w:val="000000"/>
                <w:sz w:val="24"/>
              </w:rPr>
              <w:t>价=年度投标报价</w:t>
            </w:r>
            <w:r>
              <w:rPr>
                <w:rFonts w:ascii="Arial" w:hAnsi="Arial" w:cs="Arial"/>
                <w:b/>
                <w:color w:val="000000"/>
                <w:sz w:val="24"/>
                <w:shd w:val="clear" w:color="auto" w:fill="FFFFFF"/>
              </w:rPr>
              <w:t>×</w:t>
            </w:r>
            <w:r>
              <w:rPr>
                <w:rFonts w:hint="eastAsia" w:ascii="Arial" w:hAnsi="Arial" w:cs="Arial"/>
                <w:b/>
                <w:color w:val="000000"/>
                <w:sz w:val="24"/>
                <w:shd w:val="clear" w:color="auto" w:fill="FFFFFF"/>
              </w:rPr>
              <w:t>3年。</w:t>
            </w:r>
          </w:p>
        </w:tc>
      </w:tr>
    </w:tbl>
    <w:p>
      <w:pPr>
        <w:pStyle w:val="10"/>
        <w:spacing w:line="480" w:lineRule="exact"/>
        <w:rPr>
          <w:rFonts w:hAnsi="宋体"/>
          <w:color w:val="000000"/>
          <w:sz w:val="23"/>
          <w:szCs w:val="23"/>
        </w:rPr>
      </w:pPr>
      <w:r>
        <w:rPr>
          <w:rFonts w:hint="eastAsia" w:hAnsi="宋体"/>
          <w:color w:val="000000"/>
          <w:sz w:val="23"/>
          <w:szCs w:val="23"/>
        </w:rPr>
        <w:t>注：</w:t>
      </w:r>
    </w:p>
    <w:p>
      <w:pPr>
        <w:pStyle w:val="10"/>
        <w:spacing w:line="0" w:lineRule="atLeast"/>
        <w:ind w:left="833" w:leftChars="203" w:hanging="407" w:hangingChars="177"/>
        <w:rPr>
          <w:color w:val="000000"/>
          <w:sz w:val="23"/>
          <w:szCs w:val="23"/>
        </w:rPr>
      </w:pPr>
      <w:r>
        <w:rPr>
          <w:rFonts w:hAnsi="宋体"/>
          <w:color w:val="000000"/>
          <w:sz w:val="23"/>
          <w:szCs w:val="23"/>
        </w:rPr>
        <w:t>1</w:t>
      </w:r>
      <w:r>
        <w:rPr>
          <w:rFonts w:hint="eastAsia" w:hAnsi="宋体"/>
          <w:color w:val="000000"/>
          <w:sz w:val="23"/>
          <w:szCs w:val="23"/>
        </w:rPr>
        <w:t>、</w:t>
      </w:r>
      <w:r>
        <w:rPr>
          <w:rFonts w:hint="eastAsia"/>
          <w:color w:val="000000"/>
          <w:sz w:val="23"/>
          <w:szCs w:val="23"/>
        </w:rPr>
        <w:t>填写此表时</w:t>
      </w:r>
      <w:r>
        <w:rPr>
          <w:rFonts w:hint="eastAsia"/>
          <w:color w:val="000000"/>
          <w:sz w:val="23"/>
          <w:szCs w:val="23"/>
          <w:u w:val="single"/>
        </w:rPr>
        <w:t>不得改变表格的形式</w:t>
      </w:r>
      <w:r>
        <w:rPr>
          <w:rFonts w:hint="eastAsia"/>
          <w:color w:val="000000"/>
          <w:sz w:val="23"/>
          <w:szCs w:val="23"/>
        </w:rPr>
        <w:t>。</w:t>
      </w:r>
    </w:p>
    <w:p>
      <w:pPr>
        <w:pStyle w:val="10"/>
        <w:spacing w:line="0" w:lineRule="atLeast"/>
        <w:ind w:left="833" w:leftChars="203" w:hanging="407" w:hangingChars="177"/>
        <w:rPr>
          <w:color w:val="000000"/>
          <w:sz w:val="23"/>
          <w:szCs w:val="23"/>
        </w:rPr>
      </w:pPr>
      <w:r>
        <w:rPr>
          <w:rFonts w:hint="eastAsia"/>
          <w:color w:val="000000"/>
          <w:sz w:val="23"/>
          <w:szCs w:val="23"/>
          <w:lang w:val="en-US" w:eastAsia="zh-CN"/>
        </w:rPr>
        <w:t>2</w:t>
      </w:r>
      <w:r>
        <w:rPr>
          <w:rFonts w:hint="eastAsia"/>
          <w:color w:val="000000"/>
          <w:sz w:val="23"/>
          <w:szCs w:val="23"/>
        </w:rPr>
        <w:t>、以上表中内容必须计算机录入、填写、打印</w:t>
      </w:r>
      <w:r>
        <w:rPr>
          <w:rFonts w:hint="eastAsia"/>
          <w:color w:val="000000"/>
          <w:sz w:val="23"/>
          <w:szCs w:val="23"/>
          <w:lang w:eastAsia="zh-CN"/>
        </w:rPr>
        <w:t>，</w:t>
      </w:r>
      <w:r>
        <w:rPr>
          <w:rFonts w:hint="eastAsia"/>
          <w:color w:val="000000"/>
          <w:sz w:val="23"/>
          <w:szCs w:val="23"/>
        </w:rPr>
        <w:t>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38" w:name="_Toc295727243"/>
    </w:p>
    <w:p>
      <w:pPr>
        <w:pStyle w:val="5"/>
        <w:numPr>
          <w:ilvl w:val="0"/>
          <w:numId w:val="0"/>
        </w:numPr>
        <w:bidi w:val="0"/>
        <w:ind w:leftChars="0"/>
        <w:rPr>
          <w:rFonts w:hint="eastAsia"/>
        </w:rPr>
      </w:pPr>
      <w:bookmarkStart w:id="39" w:name="_Toc7488"/>
      <w:bookmarkStart w:id="40" w:name="_Toc295727241"/>
      <w:bookmarkStart w:id="41" w:name="_Toc59630614"/>
      <w:r>
        <w:rPr>
          <w:rFonts w:hint="eastAsia"/>
          <w:lang w:val="en-US" w:eastAsia="zh-CN"/>
        </w:rPr>
        <w:t xml:space="preserve">7.3 </w:t>
      </w:r>
      <w:r>
        <w:rPr>
          <w:rFonts w:hint="eastAsia"/>
        </w:rPr>
        <w:t>技术文件</w:t>
      </w:r>
      <w:bookmarkEnd w:id="39"/>
      <w:bookmarkEnd w:id="40"/>
      <w:bookmarkEnd w:id="41"/>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 xml:space="preserve">7.3.1 </w:t>
      </w:r>
      <w:r>
        <w:rPr>
          <w:rFonts w:hint="eastAsia" w:ascii="宋体" w:hAnsi="宋体"/>
          <w:b/>
          <w:color w:val="000000"/>
          <w:sz w:val="24"/>
          <w:szCs w:val="24"/>
        </w:rPr>
        <w:t>一般技术响应表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w:t>
      </w:r>
      <w:r>
        <w:rPr>
          <w:rFonts w:hint="eastAsia" w:ascii="宋体" w:hAnsi="宋体"/>
          <w:color w:val="000000"/>
          <w:szCs w:val="21"/>
          <w:lang w:val="en-US" w:eastAsia="zh-CN"/>
        </w:rPr>
        <w:t>中的</w:t>
      </w:r>
      <w:r>
        <w:rPr>
          <w:rFonts w:hint="eastAsia" w:ascii="宋体" w:hAnsi="宋体"/>
          <w:color w:val="000000"/>
          <w:szCs w:val="21"/>
        </w:rPr>
        <w:t>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560" w:lineRule="exact"/>
        <w:rPr>
          <w:rFonts w:hint="eastAsia" w:ascii="宋体" w:hAnsi="宋体"/>
          <w:b/>
          <w:color w:val="000000"/>
          <w:sz w:val="28"/>
          <w:szCs w:val="28"/>
          <w:lang w:val="en-US" w:eastAsia="zh-CN"/>
        </w:rPr>
      </w:pPr>
      <w:bookmarkStart w:id="42" w:name="_Toc28300"/>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7.3.2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w:t>
      </w:r>
      <w:r>
        <w:rPr>
          <w:rFonts w:hint="eastAsia" w:ascii="宋体" w:hAnsi="宋体"/>
          <w:color w:val="000000"/>
          <w:sz w:val="24"/>
          <w:lang w:val="en-US" w:eastAsia="zh-CN"/>
        </w:rPr>
        <w:t>招标文件</w:t>
      </w:r>
      <w:r>
        <w:rPr>
          <w:rFonts w:hint="eastAsia" w:ascii="宋体" w:hAnsi="宋体"/>
          <w:color w:val="000000"/>
          <w:sz w:val="24"/>
        </w:rPr>
        <w:t>中</w:t>
      </w:r>
      <w:r>
        <w:rPr>
          <w:rFonts w:hint="eastAsia" w:ascii="宋体" w:hAnsi="宋体"/>
          <w:color w:val="000000"/>
          <w:sz w:val="24"/>
          <w:lang w:val="en-US" w:eastAsia="zh-CN"/>
        </w:rPr>
        <w:t>的</w:t>
      </w:r>
      <w:r>
        <w:rPr>
          <w:rFonts w:hint="eastAsia" w:ascii="宋体" w:hAnsi="宋体"/>
          <w:color w:val="000000"/>
          <w:sz w:val="24"/>
        </w:rPr>
        <w:t>技术评分表，逐一对本项目技术要求提供书面响应：</w:t>
      </w:r>
    </w:p>
    <w:p>
      <w:pPr>
        <w:numPr>
          <w:ilvl w:val="0"/>
          <w:numId w:val="2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品牌知名程度</w:t>
      </w:r>
    </w:p>
    <w:p>
      <w:pPr>
        <w:numPr>
          <w:ilvl w:val="0"/>
          <w:numId w:val="2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餐饮服务团队</w:t>
      </w:r>
      <w:r>
        <w:rPr>
          <w:rFonts w:hint="eastAsia" w:ascii="宋体" w:hAnsi="宋体"/>
          <w:color w:val="000000"/>
          <w:sz w:val="24"/>
        </w:rPr>
        <w:t>。</w:t>
      </w:r>
    </w:p>
    <w:p>
      <w:pPr>
        <w:numPr>
          <w:ilvl w:val="0"/>
          <w:numId w:val="2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餐品价格明细</w:t>
      </w:r>
    </w:p>
    <w:p>
      <w:pPr>
        <w:numPr>
          <w:ilvl w:val="0"/>
          <w:numId w:val="2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应急供餐保证措施</w:t>
      </w:r>
      <w:r>
        <w:rPr>
          <w:rFonts w:hint="eastAsia" w:ascii="宋体" w:hAnsi="宋体"/>
          <w:color w:val="000000"/>
          <w:sz w:val="24"/>
        </w:rPr>
        <w:t>。</w:t>
      </w:r>
    </w:p>
    <w:p>
      <w:pPr>
        <w:numPr>
          <w:ilvl w:val="0"/>
          <w:numId w:val="2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22"/>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lang w:val="en-US" w:eastAsia="zh-CN"/>
        </w:rPr>
        <w:t>7</w:t>
      </w:r>
      <w:r>
        <w:rPr>
          <w:rFonts w:hint="eastAsia" w:ascii="Arial" w:hAnsi="Arial"/>
          <w:lang w:val="en-US" w:eastAsia="zh-CN"/>
        </w:rPr>
        <w:t>.4 商务文件</w:t>
      </w:r>
      <w:bookmarkEnd w:id="42"/>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7.4.1</w:t>
      </w:r>
      <w:r>
        <w:rPr>
          <w:rFonts w:hint="eastAsia" w:ascii="宋体" w:hAnsi="宋体"/>
          <w:b/>
          <w:color w:val="000000"/>
          <w:sz w:val="24"/>
          <w:szCs w:val="24"/>
        </w:rPr>
        <w:t>商务响应表</w:t>
      </w:r>
    </w:p>
    <w:p>
      <w:pPr>
        <w:rPr>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33"/>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1、投标人必须对应招标文件中</w:t>
      </w:r>
      <w:r>
        <w:rPr>
          <w:rFonts w:hint="eastAsia" w:ascii="宋体" w:hAnsi="宋体"/>
          <w:color w:val="000000"/>
          <w:szCs w:val="21"/>
          <w:lang w:val="en-US" w:eastAsia="zh-CN"/>
        </w:rPr>
        <w:t>的</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default" w:ascii="宋体" w:hAnsi="宋体"/>
          <w:b w:val="0"/>
          <w:color w:val="000000"/>
          <w:sz w:val="23"/>
          <w:szCs w:val="23"/>
          <w:lang w:val="en-US" w:eastAsia="zh-CN"/>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7.4.2 详细的商务文件</w:t>
      </w:r>
    </w:p>
    <w:p>
      <w:pPr>
        <w:spacing w:line="360" w:lineRule="auto"/>
        <w:ind w:firstLine="480" w:firstLineChars="200"/>
        <w:rPr>
          <w:rFonts w:hint="eastAsia"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投标人应对照商务要求商务评分表，逐一提供响应本项目的商务文件：</w:t>
      </w:r>
    </w:p>
    <w:p>
      <w:pPr>
        <w:numPr>
          <w:ilvl w:val="0"/>
          <w:numId w:val="2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2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2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2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23"/>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ind w:left="42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24"/>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5"/>
        <w:bidi w:val="0"/>
        <w:rPr>
          <w:rFonts w:hint="eastAsia"/>
          <w:lang w:val="en-US" w:eastAsia="zh-CN"/>
        </w:rPr>
      </w:pPr>
      <w:bookmarkStart w:id="43" w:name="_Toc7659"/>
      <w:r>
        <w:rPr>
          <w:rFonts w:hint="eastAsia"/>
          <w:lang w:val="en-US" w:eastAsia="zh-CN"/>
        </w:rPr>
        <w:t>7.5承诺书</w:t>
      </w:r>
      <w:bookmarkEnd w:id="38"/>
      <w:bookmarkEnd w:id="43"/>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w:t>
      </w:r>
      <w:r>
        <w:rPr>
          <w:rFonts w:hint="eastAsia" w:ascii="宋体"/>
          <w:color w:val="000000"/>
          <w:sz w:val="23"/>
          <w:szCs w:val="23"/>
          <w:lang w:val="en-US" w:eastAsia="zh-CN"/>
        </w:rPr>
        <w:t>餐品价格</w:t>
      </w:r>
      <w:r>
        <w:rPr>
          <w:rFonts w:hint="eastAsia" w:ascii="宋体"/>
          <w:color w:val="000000"/>
          <w:sz w:val="23"/>
          <w:szCs w:val="23"/>
        </w:rPr>
        <w:t>、项目进度、质量保证、</w:t>
      </w:r>
      <w:r>
        <w:rPr>
          <w:rFonts w:hint="eastAsia" w:ascii="宋体"/>
          <w:color w:val="000000"/>
          <w:sz w:val="23"/>
          <w:szCs w:val="23"/>
          <w:lang w:val="en-US" w:eastAsia="zh-CN"/>
        </w:rPr>
        <w:t>人员</w:t>
      </w:r>
      <w:r>
        <w:rPr>
          <w:rFonts w:hint="eastAsia" w:ascii="宋体"/>
          <w:color w:val="000000"/>
          <w:sz w:val="23"/>
          <w:szCs w:val="23"/>
        </w:rPr>
        <w:t>培训、</w:t>
      </w:r>
      <w:r>
        <w:rPr>
          <w:rFonts w:hint="eastAsia" w:ascii="宋体"/>
          <w:color w:val="000000"/>
          <w:sz w:val="23"/>
          <w:szCs w:val="23"/>
          <w:lang w:val="en-US" w:eastAsia="zh-CN"/>
        </w:rPr>
        <w:t>食品安全</w:t>
      </w:r>
      <w:r>
        <w:rPr>
          <w:rFonts w:hint="eastAsia" w:ascii="宋体"/>
          <w:color w:val="000000"/>
          <w:sz w:val="23"/>
          <w:szCs w:val="23"/>
        </w:rPr>
        <w:t>、</w:t>
      </w:r>
      <w:r>
        <w:rPr>
          <w:rFonts w:hint="eastAsia" w:ascii="宋体"/>
          <w:color w:val="000000"/>
          <w:sz w:val="23"/>
          <w:szCs w:val="23"/>
          <w:lang w:val="en-US" w:eastAsia="zh-CN"/>
        </w:rPr>
        <w:t>环境整洁、服从管理</w:t>
      </w:r>
      <w:r>
        <w:rPr>
          <w:rFonts w:hint="eastAsia" w:ascii="宋体"/>
          <w:color w:val="000000"/>
          <w:sz w:val="23"/>
          <w:szCs w:val="23"/>
        </w:rPr>
        <w:t>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4" w:name="_Toc23159"/>
      <w:r>
        <w:rPr>
          <w:rFonts w:hint="eastAsia"/>
          <w:lang w:val="en-US" w:eastAsia="zh-CN"/>
        </w:rPr>
        <w:t>7.6 投标资格文件</w:t>
      </w:r>
      <w:bookmarkEnd w:id="44"/>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7.6.1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（填写项目名称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7.6.2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25"/>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25"/>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25"/>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5" w:name="_Toc26504"/>
      <w:r>
        <w:rPr>
          <w:rFonts w:hint="eastAsia"/>
          <w:lang w:val="en-US" w:eastAsia="zh-CN"/>
        </w:rPr>
        <w:t>7.6.3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5"/>
        <w:bidi w:val="0"/>
        <w:rPr>
          <w:rFonts w:hint="eastAsia"/>
          <w:lang w:val="en-US" w:eastAsia="zh-CN"/>
        </w:rPr>
      </w:pPr>
      <w:r>
        <w:rPr>
          <w:rFonts w:hint="eastAsia"/>
          <w:lang w:val="en-US" w:eastAsia="zh-CN"/>
        </w:rPr>
        <w:t>7.7法定代表人证明书</w:t>
      </w:r>
      <w:bookmarkEnd w:id="45"/>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1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46" w:name="_Toc20519"/>
      <w:r>
        <w:rPr>
          <w:rFonts w:hint="eastAsia"/>
          <w:lang w:val="en-US" w:eastAsia="zh-CN"/>
        </w:rPr>
        <w:t>7</w:t>
      </w:r>
      <w:r>
        <w:rPr>
          <w:rFonts w:hint="eastAsia" w:ascii="Arial" w:hAnsi="Arial"/>
          <w:lang w:val="en-US" w:eastAsia="zh-CN"/>
        </w:rPr>
        <w:t>.8 授权委托书</w:t>
      </w:r>
      <w:bookmarkEnd w:id="46"/>
    </w:p>
    <w:p>
      <w:pPr>
        <w:adjustRightInd w:val="0"/>
        <w:snapToGrid w:val="0"/>
        <w:rPr>
          <w:rFonts w:ascii="宋体" w:hAnsi="宋体"/>
          <w:color w:val="000000"/>
          <w:kern w:val="0"/>
          <w:sz w:val="23"/>
          <w:szCs w:val="23"/>
        </w:rPr>
      </w:pPr>
    </w:p>
    <w:p>
      <w:pPr>
        <w:pStyle w:val="10"/>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w:t>
      </w:r>
      <w:r>
        <w:rPr>
          <w:rFonts w:hint="eastAsia" w:ascii="宋体" w:hAnsi="宋体"/>
          <w:color w:val="000000"/>
          <w:sz w:val="23"/>
          <w:szCs w:val="23"/>
          <w:lang w:val="en-US" w:eastAsia="zh-CN"/>
        </w:rPr>
        <w:t xml:space="preserve">    </w:t>
      </w:r>
      <w:r>
        <w:rPr>
          <w:rFonts w:hint="eastAsia" w:ascii="宋体" w:hAnsi="宋体"/>
          <w:color w:val="000000"/>
          <w:sz w:val="23"/>
          <w:szCs w:val="23"/>
        </w:rPr>
        <w:t>年</w:t>
      </w:r>
      <w:r>
        <w:rPr>
          <w:rFonts w:hint="eastAsia" w:ascii="宋体" w:hAnsi="宋体"/>
          <w:color w:val="000000"/>
          <w:sz w:val="23"/>
          <w:szCs w:val="23"/>
          <w:lang w:val="en-US" w:eastAsia="zh-CN"/>
        </w:rPr>
        <w:t xml:space="preserve">    </w:t>
      </w:r>
      <w:r>
        <w:rPr>
          <w:rFonts w:hint="eastAsia" w:ascii="宋体" w:hAnsi="宋体"/>
          <w:color w:val="000000"/>
          <w:sz w:val="23"/>
          <w:szCs w:val="23"/>
        </w:rPr>
        <w:t>月</w:t>
      </w:r>
      <w:r>
        <w:rPr>
          <w:rFonts w:hint="eastAsia" w:ascii="宋体" w:hAnsi="宋体"/>
          <w:color w:val="000000"/>
          <w:sz w:val="23"/>
          <w:szCs w:val="23"/>
          <w:lang w:val="en-US" w:eastAsia="zh-CN"/>
        </w:rPr>
        <w:t xml:space="preserve">     </w:t>
      </w:r>
      <w:r>
        <w:rPr>
          <w:rFonts w:hint="eastAsia" w:ascii="宋体" w:hAnsi="宋体"/>
          <w:color w:val="000000"/>
          <w:sz w:val="23"/>
          <w:szCs w:val="23"/>
        </w:rPr>
        <w:t>日。</w:t>
      </w:r>
    </w:p>
    <w:tbl>
      <w:tblPr>
        <w:tblStyle w:val="1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7"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7"/>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bidi w:val="0"/>
        <w:rPr>
          <w:rFonts w:hint="eastAsia"/>
          <w:lang w:val="en-US" w:eastAsia="zh-CN"/>
        </w:rPr>
      </w:pPr>
      <w:bookmarkStart w:id="48" w:name="_Toc7944"/>
      <w:bookmarkStart w:id="49" w:name="_Toc295727245"/>
      <w:bookmarkStart w:id="50" w:name="_Toc59630618"/>
      <w:r>
        <w:rPr>
          <w:rFonts w:hint="eastAsia"/>
          <w:lang w:val="en-US" w:eastAsia="zh-CN"/>
        </w:rPr>
        <w:t>7.9 投标文件自查清单（仅供提示）</w:t>
      </w:r>
      <w:bookmarkEnd w:id="48"/>
      <w:bookmarkEnd w:id="49"/>
      <w:bookmarkEnd w:id="50"/>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26"/>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26"/>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26"/>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26"/>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p>
      <w:pPr>
        <w:pStyle w:val="2"/>
        <w:rPr>
          <w:rStyle w:val="22"/>
          <w:rFonts w:ascii="??_GB2312" w:hAnsi="??_GB2312" w:cs="??_GB2312"/>
          <w:color w:val="000000"/>
          <w:sz w:val="32"/>
          <w:szCs w:val="32"/>
          <w:u w:val="none"/>
        </w:rPr>
      </w:pPr>
    </w:p>
    <w:p>
      <w:pPr>
        <w:pStyle w:val="2"/>
        <w:rPr>
          <w:rStyle w:val="22"/>
          <w:rFonts w:ascii="??_GB2312" w:hAnsi="??_GB2312" w:cs="??_GB2312"/>
          <w:color w:val="000000"/>
          <w:sz w:val="32"/>
          <w:szCs w:val="32"/>
          <w:u w:val="none"/>
        </w:rPr>
      </w:pPr>
    </w:p>
    <w:p>
      <w:pPr>
        <w:pStyle w:val="2"/>
        <w:rPr>
          <w:rStyle w:val="22"/>
          <w:rFonts w:ascii="??_GB2312" w:hAnsi="??_GB2312" w:cs="??_GB2312"/>
          <w:color w:val="000000"/>
          <w:sz w:val="32"/>
          <w:szCs w:val="32"/>
          <w:u w:val="none"/>
        </w:rPr>
      </w:pPr>
    </w:p>
    <w:p/>
    <w:sectPr>
      <w:footerReference r:id="rId5" w:type="default"/>
      <w:pgSz w:w="11906" w:h="16838"/>
      <w:pgMar w:top="1100" w:right="1120" w:bottom="1100" w:left="11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C0B91"/>
    <w:multiLevelType w:val="singleLevel"/>
    <w:tmpl w:val="845C0B91"/>
    <w:lvl w:ilvl="0" w:tentative="0">
      <w:start w:val="6"/>
      <w:numFmt w:val="chineseCounting"/>
      <w:suff w:val="space"/>
      <w:lvlText w:val="第%1部分"/>
      <w:lvlJc w:val="left"/>
      <w:rPr>
        <w:rFonts w:hint="eastAsia"/>
      </w:rPr>
    </w:lvl>
  </w:abstractNum>
  <w:abstractNum w:abstractNumId="1">
    <w:nsid w:val="FFAC0238"/>
    <w:multiLevelType w:val="singleLevel"/>
    <w:tmpl w:val="FFAC0238"/>
    <w:lvl w:ilvl="0" w:tentative="0">
      <w:start w:val="1"/>
      <w:numFmt w:val="decimal"/>
      <w:suff w:val="space"/>
      <w:lvlText w:val="（%1）"/>
      <w:lvlJc w:val="left"/>
    </w:lvl>
  </w:abstractNum>
  <w:abstractNum w:abstractNumId="2">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227D787"/>
    <w:multiLevelType w:val="singleLevel"/>
    <w:tmpl w:val="4227D787"/>
    <w:lvl w:ilvl="0" w:tentative="0">
      <w:start w:val="3"/>
      <w:numFmt w:val="chineseCounting"/>
      <w:suff w:val="nothing"/>
      <w:lvlText w:val="（%1）"/>
      <w:lvlJc w:val="left"/>
      <w:rPr>
        <w:rFonts w:hint="eastAsia"/>
      </w:rPr>
    </w:lvl>
  </w:abstractNum>
  <w:abstractNum w:abstractNumId="13">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7365D8"/>
    <w:multiLevelType w:val="singleLevel"/>
    <w:tmpl w:val="597365D8"/>
    <w:lvl w:ilvl="0" w:tentative="0">
      <w:start w:val="1"/>
      <w:numFmt w:val="chineseCounting"/>
      <w:suff w:val="nothing"/>
      <w:lvlText w:val="%1、"/>
      <w:lvlJc w:val="left"/>
      <w:rPr>
        <w:rFonts w:hint="eastAsia" w:cs="Times New Roman"/>
        <w:b/>
        <w:bCs/>
      </w:rPr>
    </w:lvl>
  </w:abstractNum>
  <w:abstractNum w:abstractNumId="17">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2">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12"/>
  </w:num>
  <w:num w:numId="3">
    <w:abstractNumId w:val="0"/>
  </w:num>
  <w:num w:numId="4">
    <w:abstractNumId w:val="23"/>
  </w:num>
  <w:num w:numId="5">
    <w:abstractNumId w:val="2"/>
  </w:num>
  <w:num w:numId="6">
    <w:abstractNumId w:val="11"/>
  </w:num>
  <w:num w:numId="7">
    <w:abstractNumId w:val="25"/>
  </w:num>
  <w:num w:numId="8">
    <w:abstractNumId w:val="18"/>
  </w:num>
  <w:num w:numId="9">
    <w:abstractNumId w:val="19"/>
  </w:num>
  <w:num w:numId="10">
    <w:abstractNumId w:val="5"/>
  </w:num>
  <w:num w:numId="11">
    <w:abstractNumId w:val="15"/>
  </w:num>
  <w:num w:numId="12">
    <w:abstractNumId w:val="4"/>
  </w:num>
  <w:num w:numId="13">
    <w:abstractNumId w:val="24"/>
  </w:num>
  <w:num w:numId="14">
    <w:abstractNumId w:val="13"/>
  </w:num>
  <w:num w:numId="15">
    <w:abstractNumId w:val="20"/>
  </w:num>
  <w:num w:numId="16">
    <w:abstractNumId w:val="7"/>
  </w:num>
  <w:num w:numId="17">
    <w:abstractNumId w:val="6"/>
  </w:num>
  <w:num w:numId="18">
    <w:abstractNumId w:val="22"/>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1"/>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2A1A1F6A"/>
    <w:rsid w:val="00010A49"/>
    <w:rsid w:val="00013027"/>
    <w:rsid w:val="000358B0"/>
    <w:rsid w:val="00057A8B"/>
    <w:rsid w:val="00066C1E"/>
    <w:rsid w:val="00076F70"/>
    <w:rsid w:val="00077575"/>
    <w:rsid w:val="0008030B"/>
    <w:rsid w:val="0009193E"/>
    <w:rsid w:val="000A0C9D"/>
    <w:rsid w:val="000A5D2F"/>
    <w:rsid w:val="000B0D92"/>
    <w:rsid w:val="000C5243"/>
    <w:rsid w:val="000D5F2D"/>
    <w:rsid w:val="000F0569"/>
    <w:rsid w:val="00103F13"/>
    <w:rsid w:val="00115203"/>
    <w:rsid w:val="00136EBA"/>
    <w:rsid w:val="00137788"/>
    <w:rsid w:val="00155644"/>
    <w:rsid w:val="0016008C"/>
    <w:rsid w:val="00174B8D"/>
    <w:rsid w:val="00182BBB"/>
    <w:rsid w:val="0018391D"/>
    <w:rsid w:val="00195C7F"/>
    <w:rsid w:val="001A6F9A"/>
    <w:rsid w:val="001B430B"/>
    <w:rsid w:val="001B5955"/>
    <w:rsid w:val="001C2BCB"/>
    <w:rsid w:val="00226F1B"/>
    <w:rsid w:val="00241111"/>
    <w:rsid w:val="00244123"/>
    <w:rsid w:val="00246EEF"/>
    <w:rsid w:val="002836C8"/>
    <w:rsid w:val="002C3DD4"/>
    <w:rsid w:val="002C5FB9"/>
    <w:rsid w:val="002D2223"/>
    <w:rsid w:val="002F089B"/>
    <w:rsid w:val="002F5B12"/>
    <w:rsid w:val="0030016F"/>
    <w:rsid w:val="00301371"/>
    <w:rsid w:val="0031159F"/>
    <w:rsid w:val="00323CD2"/>
    <w:rsid w:val="00350DE3"/>
    <w:rsid w:val="00374C55"/>
    <w:rsid w:val="0039093D"/>
    <w:rsid w:val="003A4685"/>
    <w:rsid w:val="003B5CEA"/>
    <w:rsid w:val="004049C9"/>
    <w:rsid w:val="00461B3E"/>
    <w:rsid w:val="00471F19"/>
    <w:rsid w:val="004955F9"/>
    <w:rsid w:val="004A58EB"/>
    <w:rsid w:val="004C734C"/>
    <w:rsid w:val="00534DB1"/>
    <w:rsid w:val="00546E75"/>
    <w:rsid w:val="00552895"/>
    <w:rsid w:val="00563024"/>
    <w:rsid w:val="00570F33"/>
    <w:rsid w:val="0057363D"/>
    <w:rsid w:val="00583E80"/>
    <w:rsid w:val="006127C1"/>
    <w:rsid w:val="00621DEA"/>
    <w:rsid w:val="0063265D"/>
    <w:rsid w:val="00651553"/>
    <w:rsid w:val="00674D75"/>
    <w:rsid w:val="00676E2E"/>
    <w:rsid w:val="00693489"/>
    <w:rsid w:val="006E77D5"/>
    <w:rsid w:val="00706D68"/>
    <w:rsid w:val="007117EA"/>
    <w:rsid w:val="00731A50"/>
    <w:rsid w:val="00737DD2"/>
    <w:rsid w:val="00771CB8"/>
    <w:rsid w:val="00776647"/>
    <w:rsid w:val="007823AF"/>
    <w:rsid w:val="007A66D2"/>
    <w:rsid w:val="007C564F"/>
    <w:rsid w:val="007D0AC4"/>
    <w:rsid w:val="007D3441"/>
    <w:rsid w:val="007E779E"/>
    <w:rsid w:val="007F511E"/>
    <w:rsid w:val="008119BF"/>
    <w:rsid w:val="0081301C"/>
    <w:rsid w:val="008175C1"/>
    <w:rsid w:val="0083743D"/>
    <w:rsid w:val="008421C7"/>
    <w:rsid w:val="00843583"/>
    <w:rsid w:val="008626C3"/>
    <w:rsid w:val="00876791"/>
    <w:rsid w:val="00891496"/>
    <w:rsid w:val="00892B09"/>
    <w:rsid w:val="008B363C"/>
    <w:rsid w:val="008B6A4C"/>
    <w:rsid w:val="008D098D"/>
    <w:rsid w:val="008D1F80"/>
    <w:rsid w:val="008E07E3"/>
    <w:rsid w:val="008F4816"/>
    <w:rsid w:val="00905213"/>
    <w:rsid w:val="00925A08"/>
    <w:rsid w:val="00927B07"/>
    <w:rsid w:val="00973829"/>
    <w:rsid w:val="00977E09"/>
    <w:rsid w:val="009A186A"/>
    <w:rsid w:val="009B1812"/>
    <w:rsid w:val="009D623F"/>
    <w:rsid w:val="009E445F"/>
    <w:rsid w:val="00A03F27"/>
    <w:rsid w:val="00A23294"/>
    <w:rsid w:val="00A3493A"/>
    <w:rsid w:val="00A47AAA"/>
    <w:rsid w:val="00A6519E"/>
    <w:rsid w:val="00A662EF"/>
    <w:rsid w:val="00A82742"/>
    <w:rsid w:val="00A87CBF"/>
    <w:rsid w:val="00A93B17"/>
    <w:rsid w:val="00A94B97"/>
    <w:rsid w:val="00A94C7B"/>
    <w:rsid w:val="00AB03BA"/>
    <w:rsid w:val="00AB0F6C"/>
    <w:rsid w:val="00AC35D7"/>
    <w:rsid w:val="00AE1F48"/>
    <w:rsid w:val="00AF50CC"/>
    <w:rsid w:val="00B05184"/>
    <w:rsid w:val="00B54F06"/>
    <w:rsid w:val="00B70938"/>
    <w:rsid w:val="00B729B3"/>
    <w:rsid w:val="00BF0973"/>
    <w:rsid w:val="00C23F13"/>
    <w:rsid w:val="00C32EFF"/>
    <w:rsid w:val="00C337BF"/>
    <w:rsid w:val="00C47801"/>
    <w:rsid w:val="00C7760D"/>
    <w:rsid w:val="00C95946"/>
    <w:rsid w:val="00CA2004"/>
    <w:rsid w:val="00CA357A"/>
    <w:rsid w:val="00CF4E63"/>
    <w:rsid w:val="00D26C28"/>
    <w:rsid w:val="00D3339C"/>
    <w:rsid w:val="00D605AE"/>
    <w:rsid w:val="00D60BCE"/>
    <w:rsid w:val="00D62348"/>
    <w:rsid w:val="00D72B51"/>
    <w:rsid w:val="00D821C6"/>
    <w:rsid w:val="00DA6AD2"/>
    <w:rsid w:val="00DA6FBB"/>
    <w:rsid w:val="00DB78E6"/>
    <w:rsid w:val="00DF01AF"/>
    <w:rsid w:val="00E130FB"/>
    <w:rsid w:val="00E42879"/>
    <w:rsid w:val="00EC7073"/>
    <w:rsid w:val="00F11E4E"/>
    <w:rsid w:val="00F3392D"/>
    <w:rsid w:val="00F4510D"/>
    <w:rsid w:val="00F45768"/>
    <w:rsid w:val="00F47613"/>
    <w:rsid w:val="00F67EE8"/>
    <w:rsid w:val="00F9617C"/>
    <w:rsid w:val="00FA09D5"/>
    <w:rsid w:val="00FB366F"/>
    <w:rsid w:val="00FB7337"/>
    <w:rsid w:val="00FD6AD0"/>
    <w:rsid w:val="00FE1704"/>
    <w:rsid w:val="00FF1AE6"/>
    <w:rsid w:val="00FF3746"/>
    <w:rsid w:val="01313220"/>
    <w:rsid w:val="01B5059A"/>
    <w:rsid w:val="02654D76"/>
    <w:rsid w:val="030C06C9"/>
    <w:rsid w:val="033D7C7C"/>
    <w:rsid w:val="03A666F3"/>
    <w:rsid w:val="03F40EDB"/>
    <w:rsid w:val="05421D44"/>
    <w:rsid w:val="06315769"/>
    <w:rsid w:val="06E94F16"/>
    <w:rsid w:val="07062CAA"/>
    <w:rsid w:val="074B1659"/>
    <w:rsid w:val="0926412B"/>
    <w:rsid w:val="09305B0A"/>
    <w:rsid w:val="09FC0BB7"/>
    <w:rsid w:val="0B1C7AC1"/>
    <w:rsid w:val="0B723658"/>
    <w:rsid w:val="0BDE7BE7"/>
    <w:rsid w:val="0C362AE8"/>
    <w:rsid w:val="0D4813C3"/>
    <w:rsid w:val="0DA258E1"/>
    <w:rsid w:val="0E303356"/>
    <w:rsid w:val="100205D1"/>
    <w:rsid w:val="10287D6F"/>
    <w:rsid w:val="103470B4"/>
    <w:rsid w:val="104F3D63"/>
    <w:rsid w:val="108B7898"/>
    <w:rsid w:val="11B43BE7"/>
    <w:rsid w:val="1200532C"/>
    <w:rsid w:val="129D279A"/>
    <w:rsid w:val="131A358D"/>
    <w:rsid w:val="13CF676E"/>
    <w:rsid w:val="1406017A"/>
    <w:rsid w:val="14DC6F19"/>
    <w:rsid w:val="151A0FBD"/>
    <w:rsid w:val="152809A3"/>
    <w:rsid w:val="1559023A"/>
    <w:rsid w:val="1726263E"/>
    <w:rsid w:val="172C187A"/>
    <w:rsid w:val="177B1949"/>
    <w:rsid w:val="17A44406"/>
    <w:rsid w:val="17B11F7E"/>
    <w:rsid w:val="183C5D42"/>
    <w:rsid w:val="18437AC7"/>
    <w:rsid w:val="18D2417B"/>
    <w:rsid w:val="19121F9B"/>
    <w:rsid w:val="198610DE"/>
    <w:rsid w:val="19AF4679"/>
    <w:rsid w:val="1A7755BB"/>
    <w:rsid w:val="1A88677D"/>
    <w:rsid w:val="1AAA7AF6"/>
    <w:rsid w:val="1B3C101B"/>
    <w:rsid w:val="1B8E0024"/>
    <w:rsid w:val="1B93536E"/>
    <w:rsid w:val="1C031AED"/>
    <w:rsid w:val="1CF067D9"/>
    <w:rsid w:val="1D5105B7"/>
    <w:rsid w:val="1D516158"/>
    <w:rsid w:val="1E297001"/>
    <w:rsid w:val="1E625692"/>
    <w:rsid w:val="1F765E24"/>
    <w:rsid w:val="1F7C0A2F"/>
    <w:rsid w:val="1FC90540"/>
    <w:rsid w:val="1FF371AD"/>
    <w:rsid w:val="21326BFD"/>
    <w:rsid w:val="225E7715"/>
    <w:rsid w:val="229F361C"/>
    <w:rsid w:val="22C02CAA"/>
    <w:rsid w:val="248A5117"/>
    <w:rsid w:val="25CD35CE"/>
    <w:rsid w:val="25DD64BC"/>
    <w:rsid w:val="260B21BC"/>
    <w:rsid w:val="26CD2098"/>
    <w:rsid w:val="272208EE"/>
    <w:rsid w:val="27755876"/>
    <w:rsid w:val="27CD40EE"/>
    <w:rsid w:val="289C5A27"/>
    <w:rsid w:val="28F46B84"/>
    <w:rsid w:val="2A1A1F6A"/>
    <w:rsid w:val="2A6721C3"/>
    <w:rsid w:val="2B1F0911"/>
    <w:rsid w:val="2B326F4B"/>
    <w:rsid w:val="2C494F99"/>
    <w:rsid w:val="2C580784"/>
    <w:rsid w:val="2CE04282"/>
    <w:rsid w:val="2DFD4181"/>
    <w:rsid w:val="30E847DA"/>
    <w:rsid w:val="32FD08A5"/>
    <w:rsid w:val="338C505F"/>
    <w:rsid w:val="347F6474"/>
    <w:rsid w:val="36017D80"/>
    <w:rsid w:val="375971A1"/>
    <w:rsid w:val="375C4AF6"/>
    <w:rsid w:val="376C012A"/>
    <w:rsid w:val="38183D89"/>
    <w:rsid w:val="38343DA1"/>
    <w:rsid w:val="389828E6"/>
    <w:rsid w:val="38D17207"/>
    <w:rsid w:val="39111A86"/>
    <w:rsid w:val="39286D61"/>
    <w:rsid w:val="394970FA"/>
    <w:rsid w:val="396832BC"/>
    <w:rsid w:val="3A1551D6"/>
    <w:rsid w:val="3A577D39"/>
    <w:rsid w:val="3B014227"/>
    <w:rsid w:val="3B1C0F0C"/>
    <w:rsid w:val="3B3D1B63"/>
    <w:rsid w:val="3B952AE3"/>
    <w:rsid w:val="3BB44539"/>
    <w:rsid w:val="3C067E6D"/>
    <w:rsid w:val="3C0B217D"/>
    <w:rsid w:val="3C0C19D2"/>
    <w:rsid w:val="3C227B20"/>
    <w:rsid w:val="3C4A5B4F"/>
    <w:rsid w:val="3DAA3183"/>
    <w:rsid w:val="401F2A29"/>
    <w:rsid w:val="40AF0FD0"/>
    <w:rsid w:val="40E92509"/>
    <w:rsid w:val="41A26485"/>
    <w:rsid w:val="4232459E"/>
    <w:rsid w:val="4368566B"/>
    <w:rsid w:val="44AD6E08"/>
    <w:rsid w:val="44AE37CC"/>
    <w:rsid w:val="44F73E61"/>
    <w:rsid w:val="46593785"/>
    <w:rsid w:val="468109A5"/>
    <w:rsid w:val="46B94A61"/>
    <w:rsid w:val="46C364C8"/>
    <w:rsid w:val="480257F6"/>
    <w:rsid w:val="489265D6"/>
    <w:rsid w:val="48EE2DB9"/>
    <w:rsid w:val="491D64E5"/>
    <w:rsid w:val="49C854E1"/>
    <w:rsid w:val="4A280DAA"/>
    <w:rsid w:val="4AE16107"/>
    <w:rsid w:val="4C543771"/>
    <w:rsid w:val="4C6F5657"/>
    <w:rsid w:val="4D866470"/>
    <w:rsid w:val="4F1405C4"/>
    <w:rsid w:val="4F36269D"/>
    <w:rsid w:val="4F7528B0"/>
    <w:rsid w:val="50830857"/>
    <w:rsid w:val="514F4D01"/>
    <w:rsid w:val="515A2C55"/>
    <w:rsid w:val="51EB769A"/>
    <w:rsid w:val="52FF31D6"/>
    <w:rsid w:val="53352459"/>
    <w:rsid w:val="541879C0"/>
    <w:rsid w:val="54A1148F"/>
    <w:rsid w:val="55061307"/>
    <w:rsid w:val="555D4CA7"/>
    <w:rsid w:val="557D32AA"/>
    <w:rsid w:val="56C64A5D"/>
    <w:rsid w:val="57C45DBE"/>
    <w:rsid w:val="581E00B3"/>
    <w:rsid w:val="584B2F5B"/>
    <w:rsid w:val="58B32CF0"/>
    <w:rsid w:val="592573B9"/>
    <w:rsid w:val="5B556250"/>
    <w:rsid w:val="5B620C17"/>
    <w:rsid w:val="5BD42671"/>
    <w:rsid w:val="5BF477C7"/>
    <w:rsid w:val="5C93124C"/>
    <w:rsid w:val="5D2673CB"/>
    <w:rsid w:val="5E192A8C"/>
    <w:rsid w:val="5EEE6B62"/>
    <w:rsid w:val="5F84325E"/>
    <w:rsid w:val="5FC250C6"/>
    <w:rsid w:val="600502D7"/>
    <w:rsid w:val="60D63156"/>
    <w:rsid w:val="619C7421"/>
    <w:rsid w:val="61E65141"/>
    <w:rsid w:val="63027BF9"/>
    <w:rsid w:val="634F520A"/>
    <w:rsid w:val="640D45CB"/>
    <w:rsid w:val="642135DA"/>
    <w:rsid w:val="65A541E8"/>
    <w:rsid w:val="6709566F"/>
    <w:rsid w:val="67342B59"/>
    <w:rsid w:val="675E3F83"/>
    <w:rsid w:val="68017CA7"/>
    <w:rsid w:val="680E47DE"/>
    <w:rsid w:val="68163D23"/>
    <w:rsid w:val="681C5897"/>
    <w:rsid w:val="68F6075C"/>
    <w:rsid w:val="691B4C3C"/>
    <w:rsid w:val="6A7232FC"/>
    <w:rsid w:val="6A777842"/>
    <w:rsid w:val="6AD35550"/>
    <w:rsid w:val="6B134E97"/>
    <w:rsid w:val="6B5D0BFE"/>
    <w:rsid w:val="6B8B73B9"/>
    <w:rsid w:val="6BAA7A16"/>
    <w:rsid w:val="6BD312C9"/>
    <w:rsid w:val="6CCC77CB"/>
    <w:rsid w:val="6D147240"/>
    <w:rsid w:val="6E2019FD"/>
    <w:rsid w:val="6E967046"/>
    <w:rsid w:val="6EA71CAD"/>
    <w:rsid w:val="6EE81A35"/>
    <w:rsid w:val="6F121DF9"/>
    <w:rsid w:val="6F351AF0"/>
    <w:rsid w:val="70B72EBD"/>
    <w:rsid w:val="715B6737"/>
    <w:rsid w:val="71AD33DB"/>
    <w:rsid w:val="72056069"/>
    <w:rsid w:val="72175614"/>
    <w:rsid w:val="723948DB"/>
    <w:rsid w:val="72544CF5"/>
    <w:rsid w:val="72983D29"/>
    <w:rsid w:val="72C62D8B"/>
    <w:rsid w:val="73967C24"/>
    <w:rsid w:val="74402295"/>
    <w:rsid w:val="74B20B30"/>
    <w:rsid w:val="74FB4B23"/>
    <w:rsid w:val="768E08B2"/>
    <w:rsid w:val="770B085A"/>
    <w:rsid w:val="776E579F"/>
    <w:rsid w:val="78B6544A"/>
    <w:rsid w:val="78C40538"/>
    <w:rsid w:val="78F9164A"/>
    <w:rsid w:val="79142376"/>
    <w:rsid w:val="794269AC"/>
    <w:rsid w:val="79B9417A"/>
    <w:rsid w:val="7A79790D"/>
    <w:rsid w:val="7A964B80"/>
    <w:rsid w:val="7ABA10C7"/>
    <w:rsid w:val="7B462419"/>
    <w:rsid w:val="7BAD22FB"/>
    <w:rsid w:val="7C3B3049"/>
    <w:rsid w:val="7CA67D0F"/>
    <w:rsid w:val="7D11277F"/>
    <w:rsid w:val="7DD31675"/>
    <w:rsid w:val="7E162034"/>
    <w:rsid w:val="7EA16AE8"/>
    <w:rsid w:val="7F2D2760"/>
    <w:rsid w:val="7F2D51A6"/>
    <w:rsid w:val="7F720B0D"/>
    <w:rsid w:val="7F9B47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24"/>
    <w:qFormat/>
    <w:uiPriority w:val="99"/>
    <w:pPr>
      <w:keepNext/>
      <w:tabs>
        <w:tab w:val="left" w:pos="3420"/>
      </w:tabs>
      <w:ind w:left="3420" w:hanging="720"/>
      <w:jc w:val="center"/>
      <w:outlineLvl w:val="0"/>
    </w:pPr>
    <w:rPr>
      <w:rFonts w:eastAsia="黑体"/>
      <w:sz w:val="36"/>
      <w:szCs w:val="20"/>
    </w:rPr>
  </w:style>
  <w:style w:type="paragraph" w:styleId="5">
    <w:name w:val="heading 2"/>
    <w:basedOn w:val="6"/>
    <w:next w:val="1"/>
    <w:qFormat/>
    <w:locked/>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25"/>
    <w:qFormat/>
    <w:uiPriority w:val="99"/>
    <w:pPr>
      <w:keepNext/>
      <w:keepLines/>
      <w:spacing w:before="260" w:after="260" w:line="413" w:lineRule="auto"/>
      <w:outlineLvl w:val="2"/>
    </w:pPr>
    <w:rPr>
      <w:b/>
      <w:bCs/>
      <w:sz w:val="32"/>
      <w:szCs w:val="32"/>
    </w:rPr>
  </w:style>
  <w:style w:type="paragraph" w:styleId="7">
    <w:name w:val="heading 4"/>
    <w:basedOn w:val="1"/>
    <w:next w:val="1"/>
    <w:link w:val="26"/>
    <w:qFormat/>
    <w:uiPriority w:val="99"/>
    <w:pPr>
      <w:keepNext/>
      <w:keepLines/>
      <w:spacing w:before="280" w:after="290" w:line="372"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link w:val="28"/>
    <w:qFormat/>
    <w:uiPriority w:val="99"/>
    <w:pPr>
      <w:spacing w:before="240" w:after="60"/>
      <w:jc w:val="center"/>
      <w:outlineLvl w:val="0"/>
    </w:pPr>
    <w:rPr>
      <w:rFonts w:ascii="Arial" w:hAnsi="Arial" w:eastAsia="黑体" w:cs="Arial"/>
      <w:b/>
      <w:bCs/>
      <w:sz w:val="36"/>
      <w:szCs w:val="32"/>
    </w:rPr>
  </w:style>
  <w:style w:type="paragraph" w:styleId="8">
    <w:name w:val="annotation text"/>
    <w:basedOn w:val="1"/>
    <w:link w:val="31"/>
    <w:semiHidden/>
    <w:unhideWhenUsed/>
    <w:qFormat/>
    <w:locked/>
    <w:uiPriority w:val="99"/>
    <w:pPr>
      <w:jc w:val="left"/>
    </w:pPr>
  </w:style>
  <w:style w:type="paragraph" w:styleId="9">
    <w:name w:val="Body Text Indent"/>
    <w:basedOn w:val="1"/>
    <w:link w:val="27"/>
    <w:qFormat/>
    <w:uiPriority w:val="99"/>
    <w:pPr>
      <w:autoSpaceDE w:val="0"/>
      <w:autoSpaceDN w:val="0"/>
      <w:adjustRightInd w:val="0"/>
      <w:spacing w:line="480" w:lineRule="exact"/>
      <w:ind w:firstLine="540"/>
      <w:jc w:val="left"/>
    </w:pPr>
    <w:rPr>
      <w:rFonts w:ascii="宋体"/>
      <w:kern w:val="0"/>
      <w:sz w:val="24"/>
      <w:szCs w:val="20"/>
      <w:lang w:bidi="he-IL"/>
    </w:rPr>
  </w:style>
  <w:style w:type="paragraph" w:styleId="10">
    <w:name w:val="Plain Text"/>
    <w:basedOn w:val="1"/>
    <w:qFormat/>
    <w:locked/>
    <w:uiPriority w:val="0"/>
    <w:rPr>
      <w:rFonts w:ascii="宋体" w:hAnsi="Courier New" w:cstheme="minorBidi"/>
    </w:rPr>
  </w:style>
  <w:style w:type="paragraph" w:styleId="11">
    <w:name w:val="Balloon Text"/>
    <w:basedOn w:val="1"/>
    <w:link w:val="30"/>
    <w:semiHidden/>
    <w:unhideWhenUsed/>
    <w:qFormat/>
    <w:locked/>
    <w:uiPriority w:val="99"/>
    <w:rPr>
      <w:sz w:val="18"/>
      <w:szCs w:val="18"/>
    </w:rPr>
  </w:style>
  <w:style w:type="paragraph" w:styleId="12">
    <w:name w:val="footer"/>
    <w:basedOn w:val="1"/>
    <w:unhideWhenUsed/>
    <w:qFormat/>
    <w:locked/>
    <w:uiPriority w:val="99"/>
    <w:pPr>
      <w:tabs>
        <w:tab w:val="center" w:pos="4153"/>
        <w:tab w:val="right" w:pos="8306"/>
      </w:tabs>
      <w:snapToGrid w:val="0"/>
      <w:jc w:val="left"/>
    </w:pPr>
    <w:rPr>
      <w:sz w:val="18"/>
    </w:rPr>
  </w:style>
  <w:style w:type="paragraph" w:styleId="13">
    <w:name w:val="header"/>
    <w:basedOn w:val="1"/>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pPr>
      <w:tabs>
        <w:tab w:val="right" w:leader="dot" w:pos="8380"/>
      </w:tabs>
    </w:pPr>
    <w:rPr>
      <w:rFonts w:ascii="宋体" w:hAnsi="宋体"/>
      <w:b/>
      <w:sz w:val="28"/>
      <w:szCs w:val="28"/>
      <w:lang w:val="zh-CN"/>
    </w:rPr>
  </w:style>
  <w:style w:type="paragraph" w:styleId="15">
    <w:name w:val="toc 2"/>
    <w:basedOn w:val="1"/>
    <w:next w:val="1"/>
    <w:qFormat/>
    <w:uiPriority w:val="99"/>
    <w:pPr>
      <w:tabs>
        <w:tab w:val="right" w:leader="dot" w:pos="8380"/>
      </w:tabs>
      <w:ind w:left="420" w:leftChars="200"/>
      <w:jc w:val="center"/>
    </w:pPr>
    <w:rPr>
      <w:rFonts w:ascii="宋体" w:hAnsi="宋体"/>
      <w:b/>
      <w:sz w:val="44"/>
      <w:szCs w:val="44"/>
      <w:lang w:val="zh-CN"/>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8"/>
    <w:next w:val="8"/>
    <w:link w:val="32"/>
    <w:semiHidden/>
    <w:unhideWhenUsed/>
    <w:qFormat/>
    <w:locked/>
    <w:uiPriority w:val="99"/>
    <w:rPr>
      <w:b/>
      <w:bCs/>
    </w:r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Hyperlink"/>
    <w:basedOn w:val="20"/>
    <w:qFormat/>
    <w:uiPriority w:val="99"/>
    <w:rPr>
      <w:rFonts w:cs="Times New Roman"/>
      <w:color w:val="0000FF"/>
      <w:u w:val="single"/>
    </w:rPr>
  </w:style>
  <w:style w:type="character" w:styleId="23">
    <w:name w:val="annotation reference"/>
    <w:basedOn w:val="20"/>
    <w:qFormat/>
    <w:uiPriority w:val="99"/>
    <w:rPr>
      <w:rFonts w:cs="Times New Roman"/>
      <w:sz w:val="21"/>
      <w:szCs w:val="21"/>
    </w:rPr>
  </w:style>
  <w:style w:type="character" w:customStyle="1" w:styleId="24">
    <w:name w:val="标题 1 字符"/>
    <w:basedOn w:val="20"/>
    <w:link w:val="3"/>
    <w:qFormat/>
    <w:locked/>
    <w:uiPriority w:val="99"/>
    <w:rPr>
      <w:rFonts w:cs="Times New Roman"/>
      <w:b/>
      <w:bCs/>
      <w:kern w:val="44"/>
      <w:sz w:val="44"/>
      <w:szCs w:val="44"/>
    </w:rPr>
  </w:style>
  <w:style w:type="character" w:customStyle="1" w:styleId="25">
    <w:name w:val="标题 3 字符"/>
    <w:basedOn w:val="20"/>
    <w:link w:val="6"/>
    <w:semiHidden/>
    <w:qFormat/>
    <w:locked/>
    <w:uiPriority w:val="99"/>
    <w:rPr>
      <w:rFonts w:cs="Times New Roman"/>
      <w:b/>
      <w:bCs/>
      <w:sz w:val="32"/>
      <w:szCs w:val="32"/>
    </w:rPr>
  </w:style>
  <w:style w:type="character" w:customStyle="1" w:styleId="26">
    <w:name w:val="标题 4 字符"/>
    <w:basedOn w:val="20"/>
    <w:link w:val="7"/>
    <w:semiHidden/>
    <w:qFormat/>
    <w:locked/>
    <w:uiPriority w:val="99"/>
    <w:rPr>
      <w:rFonts w:ascii="Cambria" w:hAnsi="Cambria" w:eastAsia="宋体" w:cs="Times New Roman"/>
      <w:b/>
      <w:bCs/>
      <w:sz w:val="28"/>
      <w:szCs w:val="28"/>
    </w:rPr>
  </w:style>
  <w:style w:type="character" w:customStyle="1" w:styleId="27">
    <w:name w:val="正文文本缩进 字符"/>
    <w:basedOn w:val="20"/>
    <w:link w:val="9"/>
    <w:qFormat/>
    <w:locked/>
    <w:uiPriority w:val="99"/>
    <w:rPr>
      <w:rFonts w:ascii="宋体" w:cs="Times New Roman"/>
      <w:sz w:val="24"/>
      <w:lang w:bidi="he-IL"/>
    </w:rPr>
  </w:style>
  <w:style w:type="character" w:customStyle="1" w:styleId="28">
    <w:name w:val="标题 字符"/>
    <w:basedOn w:val="20"/>
    <w:link w:val="4"/>
    <w:qFormat/>
    <w:locked/>
    <w:uiPriority w:val="99"/>
    <w:rPr>
      <w:rFonts w:ascii="Cambria" w:hAnsi="Cambria" w:cs="Times New Roman"/>
      <w:b/>
      <w:bCs/>
      <w:sz w:val="32"/>
      <w:szCs w:val="32"/>
    </w:rPr>
  </w:style>
  <w:style w:type="paragraph" w:styleId="29">
    <w:name w:val="List Paragraph"/>
    <w:basedOn w:val="1"/>
    <w:qFormat/>
    <w:uiPriority w:val="34"/>
    <w:pPr>
      <w:ind w:firstLine="420" w:firstLineChars="200"/>
    </w:pPr>
  </w:style>
  <w:style w:type="character" w:customStyle="1" w:styleId="30">
    <w:name w:val="批注框文本 字符"/>
    <w:basedOn w:val="20"/>
    <w:link w:val="11"/>
    <w:semiHidden/>
    <w:qFormat/>
    <w:uiPriority w:val="99"/>
    <w:rPr>
      <w:kern w:val="2"/>
      <w:sz w:val="18"/>
      <w:szCs w:val="18"/>
    </w:rPr>
  </w:style>
  <w:style w:type="character" w:customStyle="1" w:styleId="31">
    <w:name w:val="批注文字 字符"/>
    <w:basedOn w:val="20"/>
    <w:link w:val="8"/>
    <w:semiHidden/>
    <w:qFormat/>
    <w:uiPriority w:val="99"/>
    <w:rPr>
      <w:kern w:val="2"/>
      <w:sz w:val="21"/>
      <w:szCs w:val="24"/>
    </w:rPr>
  </w:style>
  <w:style w:type="character" w:customStyle="1" w:styleId="32">
    <w:name w:val="批注主题 字符"/>
    <w:basedOn w:val="31"/>
    <w:link w:val="17"/>
    <w:semiHidden/>
    <w:qFormat/>
    <w:uiPriority w:val="99"/>
    <w:rPr>
      <w:b/>
      <w:bCs/>
      <w:kern w:val="2"/>
      <w:sz w:val="21"/>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B55D5-45A3-4722-A1B1-E7E08A98D5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14931</Words>
  <Characters>15517</Characters>
  <Lines>49</Lines>
  <Paragraphs>14</Paragraphs>
  <TotalTime>22</TotalTime>
  <ScaleCrop>false</ScaleCrop>
  <LinksUpToDate>false</LinksUpToDate>
  <CharactersWithSpaces>16703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2022-03-22T08:09:00Z</dcterms:created>
  <dc:creator>lenovo</dc:creator>
  <cp:lastModifiedBy>i知道1</cp:lastModifiedBy>
  <cp:lastPrinted>2022-03-28T08:30:00Z</cp:lastPrinted>
  <dcterms:modified xsi:type="dcterms:W3CDTF">2022-10-21T07:25:06Z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22FC1C80B7D442449676AF1C4CB95B63</vt:lpwstr>
  </property>
</Properties>
</file>