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460559">
      <w:pPr>
        <w:jc w:val="center"/>
        <w:rPr>
          <w:b/>
          <w:sz w:val="44"/>
          <w:szCs w:val="44"/>
        </w:rPr>
      </w:pPr>
      <w:r>
        <w:rPr>
          <w:rFonts w:hint="eastAsia" w:ascii="宋体" w:hAnsi="宋体"/>
          <w:b/>
          <w:sz w:val="44"/>
          <w:szCs w:val="44"/>
        </w:rPr>
        <w:t>广东财经大学佛山校区</w:t>
      </w:r>
      <w:r>
        <w:rPr>
          <w:rFonts w:hint="eastAsia"/>
          <w:b/>
          <w:sz w:val="44"/>
          <w:szCs w:val="44"/>
        </w:rPr>
        <w:t>202</w:t>
      </w:r>
      <w:r>
        <w:rPr>
          <w:rFonts w:hint="eastAsia"/>
          <w:b/>
          <w:sz w:val="44"/>
          <w:szCs w:val="44"/>
          <w:lang w:val="en-US" w:eastAsia="zh-CN"/>
        </w:rPr>
        <w:t>7</w:t>
      </w:r>
      <w:r>
        <w:rPr>
          <w:rFonts w:hint="eastAsia" w:ascii="宋体" w:hAnsi="宋体"/>
          <w:b/>
          <w:sz w:val="44"/>
          <w:szCs w:val="44"/>
        </w:rPr>
        <w:t>年小额工程造价咨询服务项目询价文件</w:t>
      </w:r>
    </w:p>
    <w:p w14:paraId="01F9F1FC">
      <w:pPr>
        <w:spacing w:line="360" w:lineRule="auto"/>
        <w:ind w:firstLine="480" w:firstLineChars="200"/>
        <w:rPr>
          <w:rFonts w:ascii="黑体" w:hAnsi="宋体" w:eastAsia="黑体"/>
          <w:sz w:val="24"/>
          <w:szCs w:val="24"/>
        </w:rPr>
      </w:pPr>
      <w:r>
        <w:rPr>
          <w:rFonts w:hint="eastAsia" w:ascii="黑体" w:hAnsi="宋体" w:eastAsia="黑体"/>
          <w:sz w:val="24"/>
          <w:szCs w:val="24"/>
        </w:rPr>
        <w:t xml:space="preserve"> </w:t>
      </w:r>
    </w:p>
    <w:p w14:paraId="0B0EA9C8">
      <w:pPr>
        <w:spacing w:line="360" w:lineRule="auto"/>
        <w:ind w:firstLine="560" w:firstLineChars="200"/>
        <w:rPr>
          <w:rFonts w:ascii="宋体" w:hAnsi="宋体"/>
          <w:bCs/>
          <w:sz w:val="28"/>
          <w:szCs w:val="28"/>
        </w:rPr>
      </w:pPr>
      <w:r>
        <w:rPr>
          <w:rFonts w:hint="eastAsia" w:ascii="宋体" w:hAnsi="宋体"/>
          <w:bCs/>
          <w:sz w:val="28"/>
          <w:szCs w:val="28"/>
        </w:rPr>
        <w:t>根据《广东财经大学校内分散采购实施办法（试行）》有关规定，我校拟通过分散式采购方式选定一家供应商负责提供广东财经大学佛山校区小额工程工程量清单、工程预算造价清单编制等咨询服务，欢迎符合资格条件的供应商前来报价。具体询价内容如下：</w:t>
      </w:r>
    </w:p>
    <w:p w14:paraId="143EE90A">
      <w:pPr>
        <w:spacing w:line="360" w:lineRule="auto"/>
        <w:ind w:firstLine="562" w:firstLineChars="200"/>
        <w:rPr>
          <w:rFonts w:ascii="宋体" w:hAnsi="宋体"/>
          <w:bCs/>
          <w:sz w:val="28"/>
          <w:szCs w:val="28"/>
        </w:rPr>
      </w:pPr>
      <w:r>
        <w:rPr>
          <w:rFonts w:hint="eastAsia" w:ascii="宋体" w:hAnsi="宋体"/>
          <w:b/>
          <w:sz w:val="28"/>
          <w:szCs w:val="28"/>
          <w:lang w:val="en-US" w:eastAsia="zh-CN"/>
        </w:rPr>
        <w:t>一</w:t>
      </w:r>
      <w:r>
        <w:rPr>
          <w:rFonts w:hint="eastAsia" w:ascii="宋体" w:hAnsi="宋体"/>
          <w:b/>
          <w:sz w:val="28"/>
          <w:szCs w:val="28"/>
        </w:rPr>
        <w:t>、项目名称：</w:t>
      </w:r>
      <w:r>
        <w:rPr>
          <w:rFonts w:hint="eastAsia" w:ascii="宋体" w:hAnsi="宋体"/>
          <w:bCs/>
          <w:sz w:val="28"/>
          <w:szCs w:val="28"/>
        </w:rPr>
        <w:t>广东财经大学佛山校区202</w:t>
      </w:r>
      <w:r>
        <w:rPr>
          <w:rFonts w:hint="eastAsia" w:ascii="宋体" w:hAnsi="宋体"/>
          <w:bCs/>
          <w:sz w:val="28"/>
          <w:szCs w:val="28"/>
          <w:lang w:val="en-US" w:eastAsia="zh-CN"/>
        </w:rPr>
        <w:t>7</w:t>
      </w:r>
      <w:r>
        <w:rPr>
          <w:rFonts w:hint="eastAsia" w:ascii="宋体" w:hAnsi="宋体"/>
          <w:bCs/>
          <w:sz w:val="28"/>
          <w:szCs w:val="28"/>
        </w:rPr>
        <w:t>年小额工程造价咨询服务项目</w:t>
      </w:r>
    </w:p>
    <w:p w14:paraId="4B1DFC97">
      <w:pPr>
        <w:spacing w:line="360" w:lineRule="auto"/>
        <w:ind w:firstLine="562" w:firstLineChars="200"/>
        <w:rPr>
          <w:rFonts w:ascii="宋体" w:hAnsi="宋体"/>
          <w:bCs/>
          <w:sz w:val="28"/>
          <w:szCs w:val="28"/>
        </w:rPr>
      </w:pPr>
      <w:r>
        <w:rPr>
          <w:rFonts w:hint="eastAsia" w:ascii="宋体" w:hAnsi="宋体"/>
          <w:b/>
          <w:sz w:val="28"/>
          <w:szCs w:val="28"/>
          <w:lang w:val="en-US" w:eastAsia="zh-CN"/>
        </w:rPr>
        <w:t>二、采购总预算：</w:t>
      </w:r>
      <w:r>
        <w:rPr>
          <w:rFonts w:hint="eastAsia" w:ascii="宋体" w:hAnsi="宋体"/>
          <w:bCs/>
          <w:sz w:val="28"/>
          <w:szCs w:val="28"/>
        </w:rPr>
        <w:t>80,000元，具体以实际实施项目结算为准。</w:t>
      </w:r>
    </w:p>
    <w:p w14:paraId="0CC23F0C">
      <w:pPr>
        <w:spacing w:line="360" w:lineRule="auto"/>
        <w:ind w:firstLine="562" w:firstLineChars="200"/>
        <w:rPr>
          <w:rFonts w:hint="eastAsia" w:ascii="宋体" w:hAnsi="宋体"/>
          <w:b/>
          <w:sz w:val="28"/>
          <w:szCs w:val="28"/>
          <w:lang w:val="en-US" w:eastAsia="zh-CN"/>
        </w:rPr>
      </w:pPr>
      <w:r>
        <w:rPr>
          <w:rFonts w:hint="eastAsia" w:ascii="宋体" w:hAnsi="宋体"/>
          <w:b/>
          <w:sz w:val="28"/>
          <w:szCs w:val="28"/>
          <w:lang w:val="en-US" w:eastAsia="zh-CN"/>
        </w:rPr>
        <w:t>三、供应商资格条件（投标时提供证明文件，并加盖报价供应商公章）：</w:t>
      </w:r>
    </w:p>
    <w:p w14:paraId="387AE12C">
      <w:pPr>
        <w:spacing w:line="360" w:lineRule="auto"/>
        <w:ind w:firstLine="560" w:firstLineChars="200"/>
        <w:rPr>
          <w:rFonts w:ascii="宋体" w:hAnsi="宋体"/>
          <w:bCs/>
          <w:sz w:val="28"/>
          <w:szCs w:val="28"/>
        </w:rPr>
      </w:pPr>
      <w:r>
        <w:rPr>
          <w:rFonts w:hint="eastAsia" w:ascii="宋体" w:hAnsi="宋体"/>
          <w:bCs/>
          <w:sz w:val="28"/>
          <w:szCs w:val="28"/>
        </w:rPr>
        <w:t>（一）具有独立承担民事责任能力，且具备履行合同所必需的设备和专业技术能力。</w:t>
      </w:r>
    </w:p>
    <w:p w14:paraId="52997F05">
      <w:pPr>
        <w:spacing w:line="360" w:lineRule="auto"/>
        <w:ind w:firstLine="562" w:firstLineChars="200"/>
        <w:rPr>
          <w:rFonts w:hint="eastAsia" w:ascii="宋体" w:hAnsi="宋体"/>
          <w:b/>
          <w:bCs w:val="0"/>
          <w:sz w:val="28"/>
          <w:szCs w:val="28"/>
        </w:rPr>
      </w:pPr>
      <w:r>
        <w:rPr>
          <w:rFonts w:hint="eastAsia" w:ascii="宋体" w:hAnsi="宋体"/>
          <w:b/>
          <w:bCs w:val="0"/>
          <w:sz w:val="28"/>
          <w:szCs w:val="28"/>
        </w:rPr>
        <w:t>（二）具有合法有效的企业法人《营业执照》或事业单位法人证书或法人登记证书，且经营范围内包含工程造价咨询业务。</w:t>
      </w:r>
    </w:p>
    <w:p w14:paraId="06219FE4">
      <w:pPr>
        <w:spacing w:line="360" w:lineRule="auto"/>
        <w:ind w:firstLine="560" w:firstLineChars="200"/>
        <w:rPr>
          <w:rFonts w:ascii="宋体" w:hAnsi="宋体"/>
          <w:bCs/>
          <w:sz w:val="28"/>
          <w:szCs w:val="28"/>
        </w:rPr>
      </w:pPr>
      <w:r>
        <w:rPr>
          <w:rFonts w:hint="eastAsia" w:ascii="宋体" w:hAnsi="宋体"/>
          <w:bCs/>
          <w:sz w:val="28"/>
          <w:szCs w:val="28"/>
          <w:lang w:eastAsia="zh-CN"/>
        </w:rPr>
        <w:t>（</w:t>
      </w:r>
      <w:r>
        <w:rPr>
          <w:rFonts w:hint="eastAsia" w:ascii="宋体" w:hAnsi="宋体"/>
          <w:bCs/>
          <w:sz w:val="28"/>
          <w:szCs w:val="28"/>
          <w:lang w:val="en-US" w:eastAsia="zh-CN"/>
        </w:rPr>
        <w:t>三）</w:t>
      </w:r>
      <w:r>
        <w:rPr>
          <w:rFonts w:hint="eastAsia" w:ascii="宋体" w:hAnsi="宋体"/>
          <w:bCs/>
          <w:sz w:val="28"/>
          <w:szCs w:val="28"/>
        </w:rPr>
        <w:t>报价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采购人于报价截止日当天在“信用中国”网站（www.creditchina.gov.cn）及中国政府采购网(www.ccgp.gov.cn)查询结果为准，如相关失信记录已失效，报价供应商在投标时须提供相关证明资料）。</w:t>
      </w:r>
    </w:p>
    <w:p w14:paraId="37F814A7">
      <w:pPr>
        <w:spacing w:line="360" w:lineRule="auto"/>
        <w:ind w:firstLine="560" w:firstLineChars="200"/>
        <w:rPr>
          <w:rFonts w:ascii="宋体" w:hAnsi="宋体"/>
          <w:bCs/>
          <w:sz w:val="28"/>
          <w:szCs w:val="28"/>
        </w:rPr>
      </w:pPr>
      <w:r>
        <w:rPr>
          <w:rFonts w:hint="eastAsia" w:ascii="宋体" w:hAnsi="宋体"/>
          <w:bCs/>
          <w:sz w:val="28"/>
          <w:szCs w:val="28"/>
        </w:rPr>
        <w:t>（</w:t>
      </w:r>
      <w:r>
        <w:rPr>
          <w:rFonts w:hint="eastAsia" w:ascii="宋体" w:hAnsi="宋体"/>
          <w:bCs/>
          <w:sz w:val="28"/>
          <w:szCs w:val="28"/>
          <w:lang w:val="en-US" w:eastAsia="zh-CN"/>
        </w:rPr>
        <w:t>四</w:t>
      </w:r>
      <w:r>
        <w:rPr>
          <w:rFonts w:hint="eastAsia" w:ascii="宋体" w:hAnsi="宋体"/>
          <w:bCs/>
          <w:sz w:val="28"/>
          <w:szCs w:val="28"/>
        </w:rPr>
        <w:t>）本项目不接受联合体投标。</w:t>
      </w:r>
    </w:p>
    <w:p w14:paraId="781E1596">
      <w:pPr>
        <w:spacing w:line="360" w:lineRule="auto"/>
        <w:ind w:firstLine="562" w:firstLineChars="200"/>
        <w:rPr>
          <w:rFonts w:ascii="宋体" w:hAnsi="宋体"/>
          <w:b/>
          <w:sz w:val="28"/>
          <w:szCs w:val="28"/>
        </w:rPr>
      </w:pPr>
      <w:r>
        <w:rPr>
          <w:rFonts w:hint="eastAsia" w:ascii="宋体" w:hAnsi="宋体"/>
          <w:b/>
          <w:sz w:val="28"/>
          <w:szCs w:val="28"/>
        </w:rPr>
        <w:t>注：如已中标我校佛山校区202</w:t>
      </w:r>
      <w:r>
        <w:rPr>
          <w:rFonts w:hint="eastAsia" w:ascii="宋体" w:hAnsi="宋体"/>
          <w:b/>
          <w:sz w:val="28"/>
          <w:szCs w:val="28"/>
          <w:lang w:val="en-US" w:eastAsia="zh-CN"/>
        </w:rPr>
        <w:t>7</w:t>
      </w:r>
      <w:r>
        <w:rPr>
          <w:rFonts w:hint="eastAsia" w:ascii="宋体" w:hAnsi="宋体"/>
          <w:b/>
          <w:sz w:val="28"/>
          <w:szCs w:val="28"/>
        </w:rPr>
        <w:t>年小额工程预结算审核服务项目的标的，则不能投标本造价咨询服务项目，否则投标视为无效。</w:t>
      </w:r>
    </w:p>
    <w:p w14:paraId="384C033F">
      <w:pPr>
        <w:spacing w:before="71" w:beforeLines="25" w:line="360" w:lineRule="auto"/>
        <w:ind w:firstLine="562" w:firstLineChars="200"/>
        <w:rPr>
          <w:rFonts w:ascii="宋体" w:hAnsi="宋体"/>
          <w:b/>
          <w:sz w:val="28"/>
          <w:szCs w:val="28"/>
        </w:rPr>
      </w:pPr>
      <w:r>
        <w:rPr>
          <w:rFonts w:hint="eastAsia" w:ascii="宋体" w:hAnsi="宋体"/>
          <w:b/>
          <w:sz w:val="28"/>
          <w:szCs w:val="28"/>
          <w:lang w:val="en-US" w:eastAsia="zh-CN"/>
        </w:rPr>
        <w:t>四</w:t>
      </w:r>
      <w:r>
        <w:rPr>
          <w:rFonts w:hint="eastAsia" w:ascii="宋体" w:hAnsi="宋体"/>
          <w:b/>
          <w:sz w:val="28"/>
          <w:szCs w:val="28"/>
        </w:rPr>
        <w:t>、项目概况：</w:t>
      </w:r>
    </w:p>
    <w:p w14:paraId="1DFCA37D">
      <w:pPr>
        <w:spacing w:before="71" w:beforeLines="25" w:line="360" w:lineRule="auto"/>
        <w:ind w:firstLine="560" w:firstLineChars="200"/>
        <w:rPr>
          <w:rFonts w:ascii="宋体" w:hAnsi="宋体"/>
          <w:sz w:val="28"/>
          <w:szCs w:val="28"/>
        </w:rPr>
      </w:pPr>
      <w:r>
        <w:rPr>
          <w:rFonts w:hint="eastAsia" w:ascii="宋体" w:hAnsi="宋体"/>
          <w:sz w:val="28"/>
          <w:szCs w:val="28"/>
        </w:rPr>
        <w:t>（一）服务内容：为广东财经大学佛山校区100万元以下小额工程（每年大约</w:t>
      </w:r>
      <w:r>
        <w:rPr>
          <w:rFonts w:hint="eastAsia" w:ascii="宋体" w:hAnsi="宋体"/>
          <w:sz w:val="28"/>
          <w:szCs w:val="28"/>
          <w:lang w:val="en-US" w:eastAsia="zh-CN"/>
        </w:rPr>
        <w:t>20</w:t>
      </w:r>
      <w:r>
        <w:rPr>
          <w:rFonts w:hint="eastAsia" w:ascii="宋体" w:hAnsi="宋体"/>
          <w:sz w:val="28"/>
          <w:szCs w:val="28"/>
        </w:rPr>
        <w:t>个项目）提供</w:t>
      </w:r>
      <w:r>
        <w:rPr>
          <w:rFonts w:hint="eastAsia" w:ascii="宋体" w:hAnsi="宋体"/>
          <w:bCs/>
          <w:sz w:val="28"/>
          <w:szCs w:val="28"/>
        </w:rPr>
        <w:t>工程量清单、工程预算造价清单的编制等咨询服务</w:t>
      </w:r>
      <w:r>
        <w:rPr>
          <w:rFonts w:hint="eastAsia" w:ascii="宋体" w:hAnsi="宋体"/>
          <w:sz w:val="28"/>
          <w:szCs w:val="28"/>
        </w:rPr>
        <w:t>。</w:t>
      </w:r>
    </w:p>
    <w:p w14:paraId="6506BB69">
      <w:pPr>
        <w:spacing w:line="360" w:lineRule="auto"/>
        <w:ind w:firstLine="562" w:firstLineChars="200"/>
        <w:rPr>
          <w:rFonts w:ascii="宋体" w:hAnsi="宋体"/>
          <w:b/>
          <w:bCs/>
          <w:sz w:val="28"/>
          <w:szCs w:val="28"/>
        </w:rPr>
      </w:pPr>
      <w:r>
        <w:rPr>
          <w:rFonts w:hint="eastAsia" w:ascii="宋体" w:hAnsi="宋体"/>
          <w:b/>
          <w:bCs/>
          <w:sz w:val="28"/>
          <w:szCs w:val="28"/>
        </w:rPr>
        <w:t>（二）服务期限：1年，即2027年1月16日-2028年1月15日</w:t>
      </w:r>
      <w:bookmarkStart w:id="0" w:name="_GoBack"/>
      <w:bookmarkEnd w:id="0"/>
      <w:r>
        <w:rPr>
          <w:rFonts w:hint="eastAsia" w:ascii="宋体" w:hAnsi="宋体"/>
          <w:b/>
          <w:bCs/>
          <w:sz w:val="28"/>
          <w:szCs w:val="28"/>
        </w:rPr>
        <w:t>。</w:t>
      </w:r>
    </w:p>
    <w:p w14:paraId="60C22B0C">
      <w:pPr>
        <w:spacing w:line="360" w:lineRule="auto"/>
        <w:ind w:firstLine="422" w:firstLineChars="150"/>
        <w:rPr>
          <w:rFonts w:ascii="宋体" w:hAnsi="宋体"/>
          <w:b/>
          <w:bCs/>
          <w:sz w:val="28"/>
          <w:szCs w:val="28"/>
        </w:rPr>
      </w:pPr>
      <w:r>
        <w:rPr>
          <w:rFonts w:hint="eastAsia" w:ascii="宋体" w:hAnsi="宋体"/>
          <w:b/>
          <w:bCs/>
          <w:sz w:val="28"/>
          <w:szCs w:val="28"/>
          <w:lang w:val="en-US" w:eastAsia="zh-CN"/>
        </w:rPr>
        <w:t>五</w:t>
      </w:r>
      <w:r>
        <w:rPr>
          <w:rFonts w:hint="eastAsia" w:ascii="宋体" w:hAnsi="宋体"/>
          <w:b/>
          <w:bCs/>
          <w:sz w:val="28"/>
          <w:szCs w:val="28"/>
        </w:rPr>
        <w:t>、编制依据及要求：</w:t>
      </w:r>
    </w:p>
    <w:p w14:paraId="686C411F">
      <w:pPr>
        <w:spacing w:line="360" w:lineRule="auto"/>
        <w:ind w:firstLine="560" w:firstLineChars="200"/>
        <w:rPr>
          <w:rFonts w:ascii="宋体" w:hAnsi="宋体"/>
          <w:sz w:val="28"/>
          <w:szCs w:val="28"/>
        </w:rPr>
      </w:pPr>
      <w:r>
        <w:rPr>
          <w:rFonts w:hint="eastAsia" w:ascii="宋体" w:hAnsi="宋体"/>
          <w:sz w:val="28"/>
          <w:szCs w:val="28"/>
        </w:rPr>
        <w:t>（一）执行规范及定额：执行中华人民共和国国家标准《建设工程工程量清单计价规范》、《广东省建设工程计价依据（2018）》、《广东省市政工程工程量清单计价指引（2013）》、《关于广东省房屋建筑和市政修缮工程工程量清单计价的通知》(2012)、《广东省建设工程施工机具台班费用编制规则(2018)》、对应专业工程《工程量计算规范》等。</w:t>
      </w:r>
    </w:p>
    <w:p w14:paraId="39DAFD0E">
      <w:pPr>
        <w:spacing w:line="360" w:lineRule="auto"/>
        <w:ind w:firstLine="560" w:firstLineChars="200"/>
        <w:rPr>
          <w:rFonts w:ascii="宋体" w:hAnsi="宋体"/>
          <w:sz w:val="28"/>
          <w:szCs w:val="28"/>
        </w:rPr>
      </w:pPr>
      <w:r>
        <w:rPr>
          <w:rFonts w:hint="eastAsia" w:ascii="宋体" w:hAnsi="宋体"/>
          <w:sz w:val="28"/>
          <w:szCs w:val="28"/>
        </w:rPr>
        <w:t>（二）执行定额内容：按国家、广东省、行业建设主管部门颁发的计价定额和计价办法执行，根据项目所在地具体工程套用相应定额：《广东省房屋建筑与装饰工程综合定额（2018）》、《广东省通用安装工程综合定额（2018）》、《广东省市政工程综合定额（2018）》、《广东省园林绿化工程综合定额》、《广东省房屋建筑和市政修缮工程综合定额（2012）》等。</w:t>
      </w:r>
    </w:p>
    <w:p w14:paraId="034BC568">
      <w:pPr>
        <w:spacing w:line="360" w:lineRule="auto"/>
        <w:ind w:firstLine="560" w:firstLineChars="200"/>
        <w:rPr>
          <w:rFonts w:ascii="宋体" w:hAnsi="宋体"/>
          <w:sz w:val="28"/>
          <w:szCs w:val="28"/>
        </w:rPr>
      </w:pPr>
      <w:r>
        <w:rPr>
          <w:rFonts w:hint="eastAsia" w:ascii="宋体" w:hAnsi="宋体"/>
          <w:sz w:val="28"/>
          <w:szCs w:val="28"/>
        </w:rPr>
        <w:t>（三）材料设备价格执行文件：根据项目所在地工程造价管理机构发布的工程造价信息，工程造价信息没有发布的，参照市场价，具体如下：</w:t>
      </w:r>
    </w:p>
    <w:p w14:paraId="713ED127">
      <w:pPr>
        <w:spacing w:line="360" w:lineRule="auto"/>
        <w:ind w:firstLine="560" w:firstLineChars="200"/>
        <w:rPr>
          <w:rFonts w:ascii="宋体" w:hAnsi="宋体"/>
          <w:sz w:val="28"/>
          <w:szCs w:val="28"/>
        </w:rPr>
      </w:pPr>
      <w:r>
        <w:rPr>
          <w:rFonts w:hint="eastAsia" w:ascii="宋体" w:hAnsi="宋体"/>
          <w:sz w:val="28"/>
          <w:szCs w:val="28"/>
        </w:rPr>
        <w:t>1.人工、机械台班价格按项目当期佛山建设工程造价管理站发布的价格执行。</w:t>
      </w:r>
    </w:p>
    <w:p w14:paraId="3225A08F">
      <w:pPr>
        <w:spacing w:line="360" w:lineRule="auto"/>
        <w:ind w:firstLine="560" w:firstLineChars="200"/>
        <w:rPr>
          <w:rFonts w:ascii="宋体" w:hAnsi="宋体"/>
          <w:sz w:val="28"/>
          <w:szCs w:val="28"/>
        </w:rPr>
      </w:pPr>
      <w:r>
        <w:rPr>
          <w:rFonts w:hint="eastAsia" w:ascii="宋体" w:hAnsi="宋体"/>
          <w:sz w:val="28"/>
          <w:szCs w:val="28"/>
        </w:rPr>
        <w:t>2.材料、设备价格按如下优先顺序确定：①按项目当期《佛山建设工程造价信息》对应材料的税前综合价格；②按项目当期《佛山地区建设工程材料（设备）厂商价格信息》对应品牌的材料、设备价格下浮10%取定。③《佛山建设工程造价信息》、《佛山地区建设工程材料（设备）厂商价格信息》都没有可参考的材料设备，应进行市场询价取定，并提供询价资料，报招标人审定后方可采用。</w:t>
      </w:r>
    </w:p>
    <w:p w14:paraId="325CED31">
      <w:pPr>
        <w:spacing w:line="360" w:lineRule="auto"/>
        <w:ind w:firstLine="560" w:firstLineChars="200"/>
        <w:rPr>
          <w:rFonts w:ascii="宋体" w:hAnsi="宋体"/>
          <w:sz w:val="28"/>
          <w:szCs w:val="28"/>
        </w:rPr>
      </w:pPr>
      <w:r>
        <w:rPr>
          <w:rFonts w:hint="eastAsia" w:ascii="宋体" w:hAnsi="宋体"/>
          <w:sz w:val="28"/>
          <w:szCs w:val="28"/>
        </w:rPr>
        <w:t>（四）取费执行文件：根据项目所在地具体工程执行相应文件：</w:t>
      </w:r>
    </w:p>
    <w:p w14:paraId="61FD0278">
      <w:pPr>
        <w:spacing w:line="360" w:lineRule="auto"/>
        <w:ind w:firstLine="560" w:firstLineChars="200"/>
        <w:rPr>
          <w:rFonts w:ascii="宋体" w:hAnsi="宋体"/>
          <w:sz w:val="28"/>
          <w:szCs w:val="28"/>
        </w:rPr>
      </w:pPr>
      <w:r>
        <w:rPr>
          <w:rFonts w:hint="eastAsia" w:ascii="宋体" w:hAnsi="宋体"/>
          <w:sz w:val="28"/>
          <w:szCs w:val="28"/>
        </w:rPr>
        <w:t>1.绿色施工安全防护措施费，属于不可竞争费用，工程计价时，根据专业工程，应单独列项并按最新定额相应项目及费率计算。</w:t>
      </w:r>
    </w:p>
    <w:p w14:paraId="6AF738A4">
      <w:pPr>
        <w:spacing w:line="360" w:lineRule="auto"/>
        <w:ind w:firstLine="560" w:firstLineChars="200"/>
        <w:rPr>
          <w:rFonts w:ascii="宋体" w:hAnsi="宋体"/>
          <w:sz w:val="28"/>
          <w:szCs w:val="28"/>
        </w:rPr>
      </w:pPr>
      <w:r>
        <w:rPr>
          <w:rFonts w:hint="eastAsia" w:ascii="宋体" w:hAnsi="宋体"/>
          <w:sz w:val="28"/>
          <w:szCs w:val="28"/>
        </w:rPr>
        <w:t>2.其他项目取费：暂列金额按分部分项工程费的10%计取；预算包干费根据具体专业工程，在清单中列明包干的内容和费率，其他如暂估价、计日工、总承包服务费、工程优质费、概算幅度差等，应结合工程具体情况，按规范要求计取。</w:t>
      </w:r>
    </w:p>
    <w:p w14:paraId="0DA19F83">
      <w:pPr>
        <w:spacing w:line="360" w:lineRule="auto"/>
        <w:ind w:firstLine="560" w:firstLineChars="200"/>
        <w:rPr>
          <w:rFonts w:ascii="宋体" w:hAnsi="宋体"/>
          <w:sz w:val="28"/>
          <w:szCs w:val="28"/>
        </w:rPr>
      </w:pPr>
      <w:r>
        <w:rPr>
          <w:rFonts w:hint="eastAsia" w:ascii="宋体" w:hAnsi="宋体"/>
          <w:sz w:val="28"/>
          <w:szCs w:val="28"/>
        </w:rPr>
        <w:t>3.《广东省住房和城乡建设厅关于营业税改征增值税后调整广东省建设工程计价依据的通知》粤建市函〔2016〕1113号。</w:t>
      </w:r>
    </w:p>
    <w:p w14:paraId="25FDC2E7">
      <w:pPr>
        <w:spacing w:line="360" w:lineRule="auto"/>
        <w:ind w:firstLine="560" w:firstLineChars="200"/>
        <w:rPr>
          <w:rFonts w:ascii="宋体" w:hAnsi="宋体"/>
          <w:sz w:val="28"/>
          <w:szCs w:val="28"/>
        </w:rPr>
      </w:pPr>
      <w:r>
        <w:rPr>
          <w:rFonts w:hint="eastAsia" w:ascii="宋体" w:hAnsi="宋体"/>
          <w:sz w:val="28"/>
          <w:szCs w:val="28"/>
        </w:rPr>
        <w:t>4.佛山市建设工程造价管理站关于营业税改征增值税后佛山市建设工程计价有关问题的通知》佛建管函〔2016〕</w:t>
      </w:r>
      <w:r>
        <w:rPr>
          <w:rFonts w:ascii="宋体" w:hAnsi="宋体"/>
          <w:sz w:val="28"/>
          <w:szCs w:val="28"/>
        </w:rPr>
        <w:t>255</w:t>
      </w:r>
      <w:r>
        <w:rPr>
          <w:rFonts w:hint="eastAsia" w:ascii="宋体" w:hAnsi="宋体"/>
          <w:sz w:val="28"/>
          <w:szCs w:val="28"/>
        </w:rPr>
        <w:t>号。</w:t>
      </w:r>
    </w:p>
    <w:p w14:paraId="269FEC12">
      <w:pPr>
        <w:spacing w:line="360" w:lineRule="auto"/>
        <w:ind w:firstLine="560" w:firstLineChars="200"/>
        <w:rPr>
          <w:rFonts w:ascii="宋体" w:hAnsi="宋体"/>
          <w:sz w:val="28"/>
          <w:szCs w:val="28"/>
        </w:rPr>
      </w:pPr>
      <w:r>
        <w:rPr>
          <w:rFonts w:hint="eastAsia" w:ascii="宋体" w:hAnsi="宋体"/>
          <w:sz w:val="28"/>
          <w:szCs w:val="28"/>
        </w:rPr>
        <w:t>5.《广东省住房和城乡建设厅关于调整广东省建设工程计价依据增值税税率的通知》粤建市函〔2018〕898号文。</w:t>
      </w:r>
    </w:p>
    <w:p w14:paraId="49287BB7">
      <w:pPr>
        <w:spacing w:line="360" w:lineRule="auto"/>
        <w:ind w:firstLine="560" w:firstLineChars="200"/>
        <w:rPr>
          <w:rFonts w:ascii="宋体" w:hAnsi="宋体"/>
          <w:sz w:val="28"/>
          <w:szCs w:val="28"/>
        </w:rPr>
      </w:pPr>
      <w:r>
        <w:rPr>
          <w:rFonts w:hint="eastAsia" w:ascii="宋体" w:hAnsi="宋体"/>
          <w:sz w:val="28"/>
          <w:szCs w:val="28"/>
        </w:rPr>
        <w:t>6.《广东省财务部税务局关于调整增值税税率的通知》财税〔2018〕32号。</w:t>
      </w:r>
    </w:p>
    <w:p w14:paraId="2908C205">
      <w:pPr>
        <w:spacing w:line="360" w:lineRule="auto"/>
        <w:ind w:firstLine="560" w:firstLineChars="200"/>
        <w:rPr>
          <w:rFonts w:ascii="宋体" w:hAnsi="宋体"/>
          <w:sz w:val="28"/>
          <w:szCs w:val="28"/>
        </w:rPr>
      </w:pPr>
      <w:r>
        <w:rPr>
          <w:rFonts w:hint="eastAsia" w:ascii="宋体" w:hAnsi="宋体"/>
          <w:sz w:val="28"/>
          <w:szCs w:val="28"/>
        </w:rPr>
        <w:t>（五）税金：按工程所在地税务机关规定的增值税纳税方法计算。</w:t>
      </w:r>
    </w:p>
    <w:p w14:paraId="2CDC5311">
      <w:pPr>
        <w:spacing w:line="360" w:lineRule="auto"/>
        <w:ind w:firstLine="560" w:firstLineChars="200"/>
        <w:rPr>
          <w:rFonts w:ascii="宋体" w:hAnsi="宋体"/>
          <w:sz w:val="28"/>
          <w:szCs w:val="28"/>
        </w:rPr>
      </w:pPr>
      <w:r>
        <w:rPr>
          <w:rFonts w:hint="eastAsia" w:ascii="宋体" w:hAnsi="宋体"/>
          <w:sz w:val="28"/>
          <w:szCs w:val="28"/>
        </w:rPr>
        <w:t>（六）国家或广东省出台新定额或是规定按新定额及规定执行。</w:t>
      </w:r>
    </w:p>
    <w:p w14:paraId="34C4F8D2">
      <w:pPr>
        <w:spacing w:line="360" w:lineRule="auto"/>
        <w:ind w:firstLine="562" w:firstLineChars="200"/>
        <w:rPr>
          <w:rFonts w:ascii="宋体" w:hAnsi="宋体"/>
          <w:b/>
          <w:bCs/>
          <w:sz w:val="28"/>
          <w:szCs w:val="28"/>
        </w:rPr>
      </w:pPr>
      <w:r>
        <w:rPr>
          <w:rFonts w:hint="eastAsia" w:ascii="宋体" w:hAnsi="宋体"/>
          <w:b/>
          <w:bCs/>
          <w:sz w:val="28"/>
          <w:szCs w:val="28"/>
          <w:lang w:val="en-US" w:eastAsia="zh-CN"/>
        </w:rPr>
        <w:t>六</w:t>
      </w:r>
      <w:r>
        <w:rPr>
          <w:rFonts w:hint="eastAsia" w:ascii="宋体" w:hAnsi="宋体"/>
          <w:b/>
          <w:bCs/>
          <w:sz w:val="28"/>
          <w:szCs w:val="28"/>
        </w:rPr>
        <w:t>、供应商需按以下要求采集相关数据资料：</w:t>
      </w:r>
    </w:p>
    <w:p w14:paraId="2B936F85">
      <w:pPr>
        <w:spacing w:line="360" w:lineRule="auto"/>
        <w:ind w:firstLine="560" w:firstLineChars="200"/>
        <w:rPr>
          <w:rFonts w:ascii="宋体" w:hAnsi="宋体"/>
          <w:sz w:val="28"/>
          <w:szCs w:val="28"/>
        </w:rPr>
      </w:pPr>
      <w:r>
        <w:rPr>
          <w:rFonts w:hint="eastAsia" w:ascii="宋体" w:hAnsi="宋体"/>
          <w:sz w:val="28"/>
          <w:szCs w:val="28"/>
        </w:rPr>
        <w:t>1.根据工程设计施工图（如有）；</w:t>
      </w:r>
    </w:p>
    <w:p w14:paraId="3115D2F3">
      <w:pPr>
        <w:spacing w:line="360" w:lineRule="auto"/>
        <w:ind w:firstLine="560" w:firstLineChars="200"/>
        <w:rPr>
          <w:rFonts w:ascii="宋体" w:hAnsi="宋体"/>
          <w:sz w:val="28"/>
          <w:szCs w:val="28"/>
        </w:rPr>
      </w:pPr>
      <w:r>
        <w:rPr>
          <w:rFonts w:hint="eastAsia" w:ascii="宋体" w:hAnsi="宋体"/>
          <w:sz w:val="28"/>
          <w:szCs w:val="28"/>
        </w:rPr>
        <w:t>2.每个工程项目必须现场勘察，收集用户需求及现场测量工程量；</w:t>
      </w:r>
    </w:p>
    <w:p w14:paraId="3FA6AB09">
      <w:pPr>
        <w:spacing w:line="360" w:lineRule="auto"/>
        <w:ind w:firstLine="560" w:firstLineChars="200"/>
        <w:rPr>
          <w:rFonts w:ascii="宋体" w:hAnsi="宋体"/>
          <w:sz w:val="28"/>
          <w:szCs w:val="28"/>
        </w:rPr>
      </w:pPr>
      <w:r>
        <w:rPr>
          <w:rFonts w:hint="eastAsia" w:ascii="宋体" w:hAnsi="宋体"/>
          <w:sz w:val="28"/>
          <w:szCs w:val="28"/>
        </w:rPr>
        <w:t>3.用户需求书。</w:t>
      </w:r>
    </w:p>
    <w:p w14:paraId="54143DF0">
      <w:pPr>
        <w:spacing w:line="360" w:lineRule="auto"/>
        <w:ind w:firstLine="562" w:firstLineChars="200"/>
        <w:rPr>
          <w:rFonts w:ascii="宋体" w:hAnsi="宋体"/>
          <w:b/>
          <w:bCs/>
          <w:sz w:val="28"/>
          <w:szCs w:val="28"/>
        </w:rPr>
      </w:pPr>
      <w:r>
        <w:rPr>
          <w:rFonts w:hint="eastAsia" w:ascii="宋体" w:hAnsi="宋体"/>
          <w:b/>
          <w:bCs/>
          <w:sz w:val="28"/>
          <w:szCs w:val="28"/>
          <w:lang w:val="en-US" w:eastAsia="zh-CN"/>
        </w:rPr>
        <w:t>七</w:t>
      </w:r>
      <w:r>
        <w:rPr>
          <w:rFonts w:hint="eastAsia" w:ascii="宋体" w:hAnsi="宋体"/>
          <w:b/>
          <w:bCs/>
          <w:sz w:val="28"/>
          <w:szCs w:val="28"/>
        </w:rPr>
        <w:t>、服务时间及资料要求：</w:t>
      </w:r>
    </w:p>
    <w:p w14:paraId="5A8DB3D1">
      <w:pPr>
        <w:spacing w:before="71" w:beforeLines="25" w:line="360" w:lineRule="auto"/>
        <w:ind w:firstLine="560" w:firstLineChars="200"/>
        <w:rPr>
          <w:rFonts w:ascii="宋体" w:hAnsi="宋体"/>
          <w:sz w:val="28"/>
          <w:szCs w:val="28"/>
        </w:rPr>
      </w:pPr>
      <w:r>
        <w:rPr>
          <w:rFonts w:hint="eastAsia" w:ascii="宋体" w:hAnsi="宋体"/>
          <w:sz w:val="28"/>
          <w:szCs w:val="28"/>
        </w:rPr>
        <w:t>（一）工程造价咨询业务自收集相关数据资料后开始编制工程量清单、</w:t>
      </w:r>
      <w:r>
        <w:rPr>
          <w:rFonts w:hint="eastAsia" w:ascii="宋体" w:hAnsi="宋体"/>
          <w:bCs/>
          <w:sz w:val="28"/>
          <w:szCs w:val="28"/>
        </w:rPr>
        <w:t>工程预算造价清单或工程概算清单</w:t>
      </w:r>
      <w:r>
        <w:rPr>
          <w:rFonts w:hint="eastAsia" w:ascii="宋体" w:hAnsi="宋体"/>
          <w:sz w:val="28"/>
          <w:szCs w:val="28"/>
        </w:rPr>
        <w:t>，应在勘察现场收齐相关需求资料后，20万元以下的项目5个日历天内完成，20万元以上的项目（含20万元） 10个日历天内完成，但不包括与有关单位核对时间，若采购人提出修改意见，供应商应积极配合，并在采购人要求的时间内完成修改工作。</w:t>
      </w:r>
    </w:p>
    <w:p w14:paraId="05380E37">
      <w:pPr>
        <w:spacing w:before="71" w:beforeLines="25" w:line="360" w:lineRule="auto"/>
        <w:ind w:firstLine="560" w:firstLineChars="200"/>
        <w:rPr>
          <w:rFonts w:ascii="宋体" w:hAnsi="宋体"/>
          <w:sz w:val="28"/>
          <w:szCs w:val="28"/>
        </w:rPr>
      </w:pPr>
      <w:r>
        <w:rPr>
          <w:rFonts w:hint="eastAsia" w:ascii="宋体" w:hAnsi="宋体"/>
          <w:sz w:val="28"/>
          <w:szCs w:val="28"/>
        </w:rPr>
        <w:t>（二）中标供应商对所编制的工程量清单、</w:t>
      </w:r>
      <w:r>
        <w:rPr>
          <w:rFonts w:hint="eastAsia" w:ascii="宋体" w:hAnsi="宋体"/>
          <w:bCs/>
          <w:sz w:val="28"/>
          <w:szCs w:val="28"/>
        </w:rPr>
        <w:t>预算造价清单（最高投标限价）或工程概算清单</w:t>
      </w:r>
      <w:r>
        <w:rPr>
          <w:rFonts w:hint="eastAsia" w:ascii="宋体" w:hAnsi="宋体"/>
          <w:sz w:val="28"/>
          <w:szCs w:val="28"/>
        </w:rPr>
        <w:t>的准确性、合规性负责。</w:t>
      </w:r>
    </w:p>
    <w:p w14:paraId="571BC461">
      <w:pPr>
        <w:spacing w:before="71" w:beforeLines="25" w:line="360" w:lineRule="auto"/>
        <w:ind w:firstLine="560" w:firstLineChars="200"/>
        <w:rPr>
          <w:rFonts w:ascii="宋体" w:hAnsi="宋体"/>
          <w:sz w:val="28"/>
          <w:szCs w:val="28"/>
        </w:rPr>
      </w:pPr>
      <w:r>
        <w:rPr>
          <w:rFonts w:hint="eastAsia" w:ascii="宋体" w:hAnsi="宋体"/>
          <w:sz w:val="28"/>
          <w:szCs w:val="28"/>
        </w:rPr>
        <w:t>（三）供应商交付成果资料必须有编制、复核、审定等相关负责人签字并加盖从业/执业章，提供全套编制的工程量清单一式两份、工程预算造价清单一式四份，并提供广联达软件版及导出 EXCEL版等文件。</w:t>
      </w:r>
    </w:p>
    <w:p w14:paraId="3853CBC2">
      <w:pPr>
        <w:spacing w:before="71" w:beforeLines="25" w:line="360" w:lineRule="auto"/>
        <w:ind w:firstLine="562" w:firstLineChars="200"/>
        <w:rPr>
          <w:rFonts w:ascii="宋体" w:hAnsi="宋体"/>
          <w:b/>
          <w:bCs/>
          <w:sz w:val="28"/>
          <w:szCs w:val="28"/>
        </w:rPr>
      </w:pPr>
      <w:r>
        <w:rPr>
          <w:rFonts w:hint="eastAsia" w:ascii="宋体" w:hAnsi="宋体"/>
          <w:b/>
          <w:bCs/>
          <w:sz w:val="28"/>
          <w:szCs w:val="28"/>
          <w:lang w:val="en-US" w:eastAsia="zh-CN"/>
        </w:rPr>
        <w:t>八</w:t>
      </w:r>
      <w:r>
        <w:rPr>
          <w:rFonts w:hint="eastAsia" w:ascii="宋体" w:hAnsi="宋体"/>
          <w:b/>
          <w:bCs/>
          <w:sz w:val="28"/>
          <w:szCs w:val="28"/>
        </w:rPr>
        <w:t>、咨询服务费报价及结算与支付方式：</w:t>
      </w:r>
    </w:p>
    <w:p w14:paraId="60BB6884">
      <w:pPr>
        <w:spacing w:before="71" w:beforeLines="25" w:line="360" w:lineRule="auto"/>
        <w:ind w:left="321" w:firstLine="562" w:firstLineChars="200"/>
        <w:rPr>
          <w:rFonts w:ascii="宋体" w:hAnsi="宋体"/>
          <w:b/>
          <w:bCs/>
          <w:sz w:val="28"/>
          <w:szCs w:val="28"/>
        </w:rPr>
      </w:pPr>
      <w:r>
        <w:rPr>
          <w:rFonts w:hint="eastAsia" w:ascii="宋体" w:hAnsi="宋体"/>
          <w:b/>
          <w:bCs/>
          <w:sz w:val="28"/>
          <w:szCs w:val="28"/>
        </w:rPr>
        <w:t>（一）服务费报价：</w:t>
      </w:r>
    </w:p>
    <w:p w14:paraId="663C4AFC">
      <w:pPr>
        <w:spacing w:before="71" w:beforeLines="25" w:line="360" w:lineRule="auto"/>
        <w:ind w:left="321" w:firstLine="560" w:firstLineChars="200"/>
        <w:rPr>
          <w:rFonts w:ascii="宋体" w:hAnsi="宋体"/>
          <w:bCs/>
          <w:sz w:val="28"/>
          <w:szCs w:val="28"/>
        </w:rPr>
      </w:pPr>
      <w:r>
        <w:rPr>
          <w:rFonts w:hint="eastAsia" w:ascii="宋体" w:hAnsi="宋体"/>
          <w:bCs/>
          <w:sz w:val="28"/>
          <w:szCs w:val="28"/>
        </w:rPr>
        <w:t>1.咨询服务费参照《广东省建筑工程造价咨询服务收费项目和收费标准表》（附件6），并结合我校小额工程实际情况，每个项目均包含工程量清单编制和预算造价清单编制工作。</w:t>
      </w:r>
    </w:p>
    <w:p w14:paraId="21EAF9A6">
      <w:pPr>
        <w:spacing w:before="71" w:beforeLines="25" w:line="360" w:lineRule="auto"/>
        <w:ind w:left="321" w:firstLine="560" w:firstLineChars="200"/>
        <w:rPr>
          <w:rFonts w:ascii="宋体" w:hAnsi="宋体"/>
          <w:bCs/>
          <w:sz w:val="28"/>
          <w:szCs w:val="28"/>
        </w:rPr>
      </w:pPr>
      <w:r>
        <w:rPr>
          <w:rFonts w:hint="eastAsia" w:ascii="宋体" w:hAnsi="宋体"/>
          <w:bCs/>
          <w:sz w:val="28"/>
          <w:szCs w:val="28"/>
        </w:rPr>
        <w:t>2.工程量清单编制、工程预算造价清单编制咨询服务费，按工程清单计价法差额定率累进计费，供应商在此基础上以</w:t>
      </w:r>
      <w:r>
        <w:rPr>
          <w:rFonts w:hint="eastAsia" w:ascii="宋体" w:hAnsi="宋体"/>
          <w:b/>
          <w:sz w:val="28"/>
          <w:szCs w:val="28"/>
        </w:rPr>
        <w:t>下浮率</w:t>
      </w:r>
      <w:r>
        <w:rPr>
          <w:rFonts w:hint="eastAsia" w:ascii="宋体" w:hAnsi="宋体"/>
          <w:bCs/>
          <w:sz w:val="28"/>
          <w:szCs w:val="28"/>
        </w:rPr>
        <w:t>形式报价（包括该表中说明第2条“造价咨询费不足2000元的按2000元收取”也按该下浮率计算）。例如：1.某工程预算造价为60万元，按此标准计算出来的基准价为2880.00元（600,000*3‰+600,000*1.8‰），如供应商投本项目</w:t>
      </w:r>
      <w:r>
        <w:rPr>
          <w:rFonts w:hint="eastAsia" w:ascii="宋体" w:hAnsi="宋体"/>
          <w:b/>
          <w:sz w:val="28"/>
          <w:szCs w:val="28"/>
        </w:rPr>
        <w:t>下浮率</w:t>
      </w:r>
      <w:r>
        <w:rPr>
          <w:rFonts w:hint="eastAsia" w:ascii="宋体" w:hAnsi="宋体"/>
          <w:bCs/>
          <w:sz w:val="28"/>
          <w:szCs w:val="28"/>
        </w:rPr>
        <w:t>为20%，即该工程工程量清单编制及工程预算造价清单编制的咨询服务费为：2304.00元（2880*（1-20%））；2.某工程预算造价为10万元，按此标准计算出来的基准价为480.00元（100,000*3‰+100,000*1.8‰），按表中清单计价法差额定率累进计费，咨询费不足2000元的，按表中说明第2条“造价咨询费不足2000元的按2000元收取”，此条也相应按</w:t>
      </w:r>
      <w:r>
        <w:rPr>
          <w:rFonts w:hint="eastAsia" w:ascii="宋体" w:hAnsi="宋体"/>
          <w:b/>
          <w:sz w:val="28"/>
          <w:szCs w:val="28"/>
        </w:rPr>
        <w:t>下浮率</w:t>
      </w:r>
      <w:r>
        <w:rPr>
          <w:rFonts w:hint="eastAsia" w:ascii="宋体" w:hAnsi="宋体"/>
          <w:bCs/>
          <w:sz w:val="28"/>
          <w:szCs w:val="28"/>
        </w:rPr>
        <w:t>计算，如供应商投本项目</w:t>
      </w:r>
      <w:r>
        <w:rPr>
          <w:rFonts w:hint="eastAsia" w:ascii="宋体" w:hAnsi="宋体"/>
          <w:b/>
          <w:sz w:val="28"/>
          <w:szCs w:val="28"/>
        </w:rPr>
        <w:t>下浮率</w:t>
      </w:r>
      <w:r>
        <w:rPr>
          <w:rFonts w:hint="eastAsia" w:ascii="宋体" w:hAnsi="宋体"/>
          <w:bCs/>
          <w:sz w:val="28"/>
          <w:szCs w:val="28"/>
        </w:rPr>
        <w:t>为20%，即该项目工程量清单编制及工程预算造价清单编制的咨询服务费为：1,600元（2,000*（1-20%））。</w:t>
      </w:r>
    </w:p>
    <w:p w14:paraId="5CCF5A06">
      <w:pPr>
        <w:pStyle w:val="2"/>
        <w:spacing w:line="360" w:lineRule="auto"/>
        <w:ind w:firstLine="560"/>
        <w:rPr>
          <w:rFonts w:ascii="宋体" w:hAnsi="宋体"/>
          <w:bCs/>
          <w:sz w:val="28"/>
          <w:szCs w:val="28"/>
        </w:rPr>
      </w:pPr>
      <w:r>
        <w:rPr>
          <w:rFonts w:hint="eastAsia" w:ascii="宋体" w:hAnsi="宋体"/>
          <w:bCs/>
          <w:sz w:val="28"/>
          <w:szCs w:val="28"/>
        </w:rPr>
        <w:t>3.按采购人要求单独完成工程概算的编制，由于采购人原因，项目取消不实施，则按单独编制工程概算，支付咨询服务费，概算咨询服务费的标准为：2000*（1-投标下浮率）*50%，例如：供应商投本项目</w:t>
      </w:r>
      <w:r>
        <w:rPr>
          <w:rFonts w:hint="eastAsia" w:ascii="宋体" w:hAnsi="宋体"/>
          <w:b/>
          <w:sz w:val="28"/>
          <w:szCs w:val="28"/>
        </w:rPr>
        <w:t>下浮率</w:t>
      </w:r>
      <w:r>
        <w:rPr>
          <w:rFonts w:hint="eastAsia" w:ascii="宋体" w:hAnsi="宋体"/>
          <w:bCs/>
          <w:sz w:val="28"/>
          <w:szCs w:val="28"/>
        </w:rPr>
        <w:t>为20%，则该项目工程概算的编制咨询服务费为：2000*（1-20%）*50%=800.00元。</w:t>
      </w:r>
    </w:p>
    <w:p w14:paraId="38111B0C">
      <w:pPr>
        <w:pStyle w:val="2"/>
        <w:spacing w:line="360" w:lineRule="auto"/>
        <w:ind w:firstLine="560"/>
        <w:rPr>
          <w:bCs/>
          <w:sz w:val="28"/>
          <w:szCs w:val="28"/>
        </w:rPr>
      </w:pPr>
      <w:r>
        <w:rPr>
          <w:rFonts w:hint="eastAsia"/>
          <w:bCs/>
          <w:sz w:val="28"/>
          <w:szCs w:val="28"/>
        </w:rPr>
        <w:t>4</w:t>
      </w:r>
      <w:r>
        <w:rPr>
          <w:bCs/>
          <w:sz w:val="28"/>
          <w:szCs w:val="28"/>
        </w:rPr>
        <w:t>.</w:t>
      </w:r>
      <w:r>
        <w:rPr>
          <w:rFonts w:ascii="宋体" w:hAnsi="宋体"/>
          <w:bCs/>
          <w:sz w:val="28"/>
          <w:szCs w:val="28"/>
        </w:rPr>
        <w:t>按采购人要求完成工程概算基础上继续深化工程预算编制，则按工程</w:t>
      </w:r>
      <w:r>
        <w:rPr>
          <w:rFonts w:hint="eastAsia" w:ascii="宋体" w:hAnsi="宋体"/>
          <w:bCs/>
          <w:sz w:val="28"/>
          <w:szCs w:val="28"/>
        </w:rPr>
        <w:t>量清单及</w:t>
      </w:r>
      <w:r>
        <w:rPr>
          <w:rFonts w:ascii="宋体" w:hAnsi="宋体"/>
          <w:bCs/>
          <w:sz w:val="28"/>
          <w:szCs w:val="28"/>
        </w:rPr>
        <w:t>预算</w:t>
      </w:r>
      <w:r>
        <w:rPr>
          <w:rFonts w:hint="eastAsia" w:ascii="宋体" w:hAnsi="宋体"/>
          <w:bCs/>
          <w:sz w:val="28"/>
          <w:szCs w:val="28"/>
        </w:rPr>
        <w:t>造价</w:t>
      </w:r>
      <w:r>
        <w:rPr>
          <w:rFonts w:ascii="宋体" w:hAnsi="宋体"/>
          <w:bCs/>
          <w:sz w:val="28"/>
          <w:szCs w:val="28"/>
        </w:rPr>
        <w:t>编制标准，支付咨询服务费。</w:t>
      </w:r>
    </w:p>
    <w:p w14:paraId="3AB161CD">
      <w:pPr>
        <w:pStyle w:val="2"/>
        <w:spacing w:line="360" w:lineRule="auto"/>
        <w:ind w:firstLine="560"/>
        <w:rPr>
          <w:rFonts w:ascii="宋体" w:hAnsi="宋体"/>
          <w:sz w:val="28"/>
          <w:szCs w:val="28"/>
        </w:rPr>
      </w:pPr>
      <w:r>
        <w:rPr>
          <w:rFonts w:hint="eastAsia" w:ascii="宋体" w:hAnsi="宋体"/>
          <w:sz w:val="28"/>
          <w:szCs w:val="28"/>
        </w:rPr>
        <w:t>5.</w:t>
      </w:r>
      <w:r>
        <w:rPr>
          <w:rFonts w:hint="eastAsia" w:ascii="宋体" w:hAnsi="宋体" w:cs="仿宋"/>
          <w:sz w:val="28"/>
          <w:szCs w:val="28"/>
        </w:rPr>
        <w:t>本项目发包的工程量清单、工程预算造价清单、工程概算清单的编制，</w:t>
      </w:r>
      <w:r>
        <w:rPr>
          <w:rFonts w:hint="eastAsia" w:ascii="宋体" w:hAnsi="宋体"/>
          <w:sz w:val="28"/>
          <w:szCs w:val="28"/>
        </w:rPr>
        <w:t>均为综合考虑了含钢筋及预埋件的计算，工程量清单、工程预算造价收费基数均为税前工程造价、税前工程概算造价。</w:t>
      </w:r>
    </w:p>
    <w:p w14:paraId="73C27A4F">
      <w:pPr>
        <w:pStyle w:val="2"/>
        <w:spacing w:line="360" w:lineRule="auto"/>
        <w:ind w:firstLine="560"/>
        <w:rPr>
          <w:bCs/>
          <w:sz w:val="28"/>
          <w:szCs w:val="28"/>
        </w:rPr>
      </w:pPr>
      <w:r>
        <w:rPr>
          <w:rFonts w:hint="eastAsia"/>
          <w:bCs/>
          <w:sz w:val="28"/>
          <w:szCs w:val="28"/>
        </w:rPr>
        <w:t>6.</w:t>
      </w:r>
      <w:r>
        <w:rPr>
          <w:rFonts w:hint="eastAsia" w:ascii="宋体" w:hAnsi="宋体"/>
          <w:bCs/>
          <w:sz w:val="28"/>
          <w:szCs w:val="28"/>
        </w:rPr>
        <w:t>以上咨询服务费用已包含编制工程量清单、工程预算造价、工程概算等编制过程中产生的外出劳务费、快递费、交通差旅、餐费、税金等一切相关费用。</w:t>
      </w:r>
    </w:p>
    <w:p w14:paraId="4F86C2B6">
      <w:pPr>
        <w:spacing w:before="71" w:beforeLines="25" w:line="360" w:lineRule="auto"/>
        <w:ind w:firstLine="562" w:firstLineChars="200"/>
        <w:rPr>
          <w:rFonts w:ascii="宋体" w:hAnsi="宋体"/>
          <w:b/>
          <w:bCs/>
          <w:sz w:val="28"/>
          <w:szCs w:val="28"/>
        </w:rPr>
      </w:pPr>
      <w:r>
        <w:rPr>
          <w:rFonts w:hint="eastAsia" w:ascii="宋体" w:hAnsi="宋体"/>
          <w:b/>
          <w:bCs/>
          <w:sz w:val="28"/>
          <w:szCs w:val="28"/>
        </w:rPr>
        <w:t>（二）结算与支付方式：</w:t>
      </w:r>
    </w:p>
    <w:p w14:paraId="335C0C6E">
      <w:pPr>
        <w:spacing w:before="71" w:beforeLines="25" w:line="360" w:lineRule="auto"/>
        <w:ind w:firstLine="560" w:firstLineChars="200"/>
        <w:rPr>
          <w:rFonts w:ascii="宋体" w:hAnsi="宋体"/>
          <w:sz w:val="28"/>
          <w:szCs w:val="28"/>
        </w:rPr>
      </w:pPr>
      <w:r>
        <w:rPr>
          <w:rFonts w:hint="eastAsia" w:ascii="宋体" w:hAnsi="宋体"/>
          <w:sz w:val="28"/>
          <w:szCs w:val="28"/>
        </w:rPr>
        <w:t>1.以每个独立工程项目单独结算，中标供应商按采购人要求完成委托业务，提供正式出稿的工程量清单、工程预算造价清单或工程概算清单纸质版及电子版资料。</w:t>
      </w:r>
    </w:p>
    <w:p w14:paraId="4626C828">
      <w:pPr>
        <w:spacing w:before="71" w:beforeLines="25" w:line="360" w:lineRule="auto"/>
        <w:ind w:firstLine="560" w:firstLineChars="200"/>
        <w:rPr>
          <w:rFonts w:ascii="宋体" w:hAnsi="宋体"/>
          <w:sz w:val="28"/>
          <w:szCs w:val="28"/>
        </w:rPr>
      </w:pPr>
      <w:r>
        <w:rPr>
          <w:rFonts w:hint="eastAsia" w:ascii="宋体" w:hAnsi="宋体"/>
          <w:sz w:val="28"/>
          <w:szCs w:val="28"/>
        </w:rPr>
        <w:t>2.每完成一个项目并经采购人确认后，按采购人通知期限，提交相应的咨询服务费书面申请报告、合同及发票，采购人于20个工作日内支付该项目咨询服务费用。若遇寒暑假或其他特殊情况，则付款时间顺延。</w:t>
      </w:r>
    </w:p>
    <w:p w14:paraId="0C49EC50">
      <w:pPr>
        <w:spacing w:before="71" w:beforeLines="25" w:line="360" w:lineRule="auto"/>
        <w:ind w:firstLine="281" w:firstLineChars="100"/>
        <w:rPr>
          <w:rFonts w:ascii="宋体" w:hAnsi="宋体"/>
          <w:b/>
          <w:bCs/>
          <w:sz w:val="28"/>
          <w:szCs w:val="28"/>
        </w:rPr>
      </w:pPr>
      <w:r>
        <w:rPr>
          <w:rFonts w:hint="eastAsia" w:ascii="宋体" w:hAnsi="宋体"/>
          <w:b/>
          <w:bCs/>
          <w:sz w:val="28"/>
          <w:szCs w:val="28"/>
        </w:rPr>
        <w:t>九、双方权利和义务</w:t>
      </w:r>
    </w:p>
    <w:p w14:paraId="0DFA148C">
      <w:pPr>
        <w:spacing w:before="71" w:beforeLines="25" w:line="360" w:lineRule="auto"/>
        <w:ind w:firstLine="281" w:firstLineChars="100"/>
        <w:rPr>
          <w:rFonts w:ascii="宋体" w:hAnsi="宋体"/>
          <w:b/>
          <w:bCs/>
          <w:sz w:val="28"/>
          <w:szCs w:val="28"/>
        </w:rPr>
      </w:pPr>
      <w:r>
        <w:rPr>
          <w:rFonts w:hint="eastAsia" w:ascii="宋体" w:hAnsi="宋体"/>
          <w:b/>
          <w:bCs/>
          <w:sz w:val="28"/>
          <w:szCs w:val="28"/>
        </w:rPr>
        <w:t>（一）采购人的权利与义务</w:t>
      </w:r>
    </w:p>
    <w:p w14:paraId="6A9139AE">
      <w:pPr>
        <w:spacing w:before="71" w:beforeLines="25" w:line="360" w:lineRule="auto"/>
        <w:ind w:firstLine="560" w:firstLineChars="200"/>
        <w:rPr>
          <w:rFonts w:ascii="宋体" w:hAnsi="宋体"/>
          <w:bCs/>
          <w:sz w:val="28"/>
          <w:szCs w:val="28"/>
        </w:rPr>
      </w:pPr>
      <w:r>
        <w:rPr>
          <w:rFonts w:hint="eastAsia" w:ascii="宋体" w:hAnsi="宋体"/>
          <w:bCs/>
          <w:sz w:val="28"/>
          <w:szCs w:val="28"/>
        </w:rPr>
        <w:t>1.双方的约定：采购人按合同条款约定进行付款，安排专人负责跟进，负责提供项目资料及协助现场勘查收集数据等资料。</w:t>
      </w:r>
    </w:p>
    <w:p w14:paraId="4D646741">
      <w:pPr>
        <w:spacing w:before="71" w:beforeLines="25" w:line="360" w:lineRule="auto"/>
        <w:ind w:firstLine="560" w:firstLineChars="200"/>
        <w:rPr>
          <w:rFonts w:ascii="宋体" w:hAnsi="宋体"/>
          <w:bCs/>
          <w:sz w:val="28"/>
          <w:szCs w:val="28"/>
        </w:rPr>
      </w:pPr>
      <w:r>
        <w:rPr>
          <w:rFonts w:hint="eastAsia" w:ascii="宋体" w:hAnsi="宋体"/>
          <w:bCs/>
          <w:sz w:val="28"/>
          <w:szCs w:val="28"/>
        </w:rPr>
        <w:t>2.法律法规以及询价文件规定的其他权利和义务。</w:t>
      </w:r>
    </w:p>
    <w:p w14:paraId="6BDBB303">
      <w:pPr>
        <w:spacing w:before="71" w:beforeLines="25" w:line="360" w:lineRule="auto"/>
        <w:ind w:firstLine="281" w:firstLineChars="100"/>
        <w:rPr>
          <w:rFonts w:ascii="宋体" w:hAnsi="宋体"/>
          <w:b/>
          <w:bCs/>
          <w:sz w:val="28"/>
          <w:szCs w:val="28"/>
        </w:rPr>
      </w:pPr>
      <w:r>
        <w:rPr>
          <w:rFonts w:hint="eastAsia" w:ascii="宋体" w:hAnsi="宋体"/>
          <w:b/>
          <w:bCs/>
          <w:sz w:val="28"/>
          <w:szCs w:val="28"/>
        </w:rPr>
        <w:t>（二）中标供应商的权利与义务</w:t>
      </w:r>
    </w:p>
    <w:p w14:paraId="6A0E9126">
      <w:pPr>
        <w:spacing w:before="71" w:beforeLines="25" w:line="360" w:lineRule="auto"/>
        <w:ind w:firstLine="560" w:firstLineChars="200"/>
        <w:rPr>
          <w:rFonts w:ascii="宋体" w:hAnsi="宋体"/>
          <w:bCs/>
          <w:sz w:val="28"/>
          <w:szCs w:val="28"/>
        </w:rPr>
      </w:pPr>
      <w:r>
        <w:rPr>
          <w:rFonts w:hint="eastAsia" w:ascii="宋体" w:hAnsi="宋体"/>
          <w:bCs/>
          <w:sz w:val="28"/>
          <w:szCs w:val="28"/>
        </w:rPr>
        <w:t>1.双方的约定：中标供应商按合同约定提供小额工程工程量清单、工程预算造价清单编制等咨询服务。</w:t>
      </w:r>
    </w:p>
    <w:p w14:paraId="0A8B5443">
      <w:pPr>
        <w:spacing w:before="71" w:beforeLines="25" w:line="360" w:lineRule="auto"/>
        <w:ind w:firstLine="560" w:firstLineChars="200"/>
        <w:rPr>
          <w:rFonts w:ascii="宋体" w:hAnsi="宋体"/>
          <w:bCs/>
          <w:sz w:val="28"/>
          <w:szCs w:val="28"/>
        </w:rPr>
      </w:pPr>
      <w:r>
        <w:rPr>
          <w:rFonts w:hint="eastAsia" w:ascii="宋体" w:hAnsi="宋体"/>
          <w:bCs/>
          <w:sz w:val="28"/>
          <w:szCs w:val="28"/>
        </w:rPr>
        <w:t>2.法律法规以及询价文件规定的其他权利和义务。</w:t>
      </w:r>
    </w:p>
    <w:p w14:paraId="2378184F">
      <w:pPr>
        <w:spacing w:before="71" w:beforeLines="25" w:line="360" w:lineRule="auto"/>
        <w:ind w:firstLine="281" w:firstLineChars="100"/>
        <w:rPr>
          <w:rFonts w:ascii="宋体" w:hAnsi="宋体"/>
          <w:b/>
          <w:bCs/>
          <w:sz w:val="28"/>
          <w:szCs w:val="28"/>
        </w:rPr>
      </w:pPr>
      <w:r>
        <w:rPr>
          <w:rFonts w:hint="eastAsia" w:ascii="宋体" w:hAnsi="宋体"/>
          <w:b/>
          <w:bCs/>
          <w:sz w:val="28"/>
          <w:szCs w:val="28"/>
        </w:rPr>
        <w:t>十、违约责任：</w:t>
      </w:r>
    </w:p>
    <w:p w14:paraId="76B47657">
      <w:pPr>
        <w:spacing w:before="71" w:beforeLines="25" w:line="360" w:lineRule="auto"/>
        <w:ind w:firstLine="560" w:firstLineChars="200"/>
        <w:rPr>
          <w:rFonts w:ascii="宋体" w:hAnsi="宋体"/>
          <w:sz w:val="28"/>
          <w:szCs w:val="28"/>
        </w:rPr>
      </w:pPr>
      <w:r>
        <w:rPr>
          <w:rFonts w:hint="eastAsia" w:ascii="宋体" w:hAnsi="宋体"/>
          <w:sz w:val="28"/>
          <w:szCs w:val="28"/>
        </w:rPr>
        <w:t>（一）中标供应商所提交的工程造价咨询报告，价值客观、真实、合理、 清晰、工整，符合工程预算造价咨询行业标准规范要求，经采购人或采购人委托第三方咨询公司进行预算审核，其误差应与审定预算造价相差±5%以内，如误差大于等于5%且小于或等于10%时，扣减该项目咨询服务费的20%，误差大于10%时，则采购人不支付该项目咨询服务费。</w:t>
      </w:r>
    </w:p>
    <w:p w14:paraId="746869EE">
      <w:pPr>
        <w:spacing w:before="71" w:beforeLines="25" w:line="360" w:lineRule="auto"/>
        <w:ind w:firstLine="560" w:firstLineChars="200"/>
        <w:rPr>
          <w:rFonts w:ascii="宋体" w:hAnsi="宋体"/>
          <w:sz w:val="28"/>
          <w:szCs w:val="28"/>
        </w:rPr>
      </w:pPr>
      <w:r>
        <w:rPr>
          <w:rFonts w:hint="eastAsia" w:ascii="宋体" w:hAnsi="宋体"/>
          <w:sz w:val="28"/>
          <w:szCs w:val="28"/>
        </w:rPr>
        <w:t>（二）中标供应商未在规定期限内完成委托业务，每逾期一天，中标供应商按委托服务费的5%向采购人偿付违约金。逾期超过10个日历天，采购人有权单方解除合同，并不再支付委托项目的咨询服务费。</w:t>
      </w:r>
    </w:p>
    <w:p w14:paraId="4C9ED6F2">
      <w:pPr>
        <w:spacing w:before="71" w:beforeLines="25" w:line="360" w:lineRule="auto"/>
        <w:ind w:firstLine="560" w:firstLineChars="200"/>
        <w:rPr>
          <w:rFonts w:ascii="宋体" w:hAnsi="宋体"/>
          <w:sz w:val="28"/>
          <w:szCs w:val="28"/>
        </w:rPr>
      </w:pPr>
      <w:r>
        <w:rPr>
          <w:rFonts w:hint="eastAsia" w:ascii="宋体" w:hAnsi="宋体"/>
          <w:sz w:val="28"/>
          <w:szCs w:val="28"/>
        </w:rPr>
        <w:t>（三）若在施工过程中，发现中标供应商所编制的预算清单（即最高投标限价）和工程量清单出现漏项、工程量计算错误、清单描述不完整不正确等中标供应商原因造成工程造价增加超过施工合同价的5%以上时，采购人有权单方解除合同，并不再支付该项目咨询服务费。</w:t>
      </w:r>
    </w:p>
    <w:p w14:paraId="660672B3">
      <w:pPr>
        <w:spacing w:before="71" w:beforeLines="25" w:line="360" w:lineRule="auto"/>
        <w:ind w:firstLine="560" w:firstLineChars="200"/>
        <w:rPr>
          <w:rFonts w:ascii="宋体" w:hAnsi="宋体"/>
          <w:sz w:val="28"/>
          <w:szCs w:val="28"/>
        </w:rPr>
      </w:pPr>
      <w:r>
        <w:rPr>
          <w:rFonts w:hint="eastAsia" w:ascii="宋体" w:hAnsi="宋体"/>
          <w:sz w:val="28"/>
          <w:szCs w:val="28"/>
        </w:rPr>
        <w:t>（四）中标供应商如有违背执业标准，职业规范（如接受利益请托、对外泄露项目信息、串通工程公司，损害采购人利益）等不当行为时，采购人有权即刻单方面解除本合同，并不支付前期负责项目的所有费用，且向中标供应商保留追偿一切损失的权利。</w:t>
      </w:r>
    </w:p>
    <w:p w14:paraId="6A45ECAA">
      <w:pPr>
        <w:spacing w:before="71" w:beforeLines="25" w:line="360" w:lineRule="auto"/>
        <w:ind w:firstLine="560" w:firstLineChars="200"/>
        <w:rPr>
          <w:rFonts w:ascii="宋体" w:hAnsi="宋体"/>
          <w:b/>
          <w:bCs/>
          <w:sz w:val="28"/>
          <w:szCs w:val="28"/>
        </w:rPr>
      </w:pPr>
      <w:r>
        <w:rPr>
          <w:rFonts w:hint="eastAsia" w:ascii="宋体" w:hAnsi="宋体"/>
          <w:sz w:val="28"/>
          <w:szCs w:val="28"/>
        </w:rPr>
        <w:t>（五）采购人未按合同约定支付咨询服务费，经中标供应商书面催告后，在14个工作日内仍未支付的，中标供应商可以单方面解除合同。</w:t>
      </w:r>
    </w:p>
    <w:p w14:paraId="5A265430">
      <w:pPr>
        <w:spacing w:before="71" w:beforeLines="25" w:line="360" w:lineRule="auto"/>
        <w:ind w:firstLine="562" w:firstLineChars="200"/>
        <w:rPr>
          <w:rFonts w:ascii="宋体" w:hAnsi="宋体"/>
          <w:b/>
          <w:bCs/>
          <w:sz w:val="28"/>
          <w:szCs w:val="28"/>
        </w:rPr>
      </w:pPr>
      <w:r>
        <w:rPr>
          <w:rFonts w:hint="eastAsia" w:ascii="宋体" w:hAnsi="宋体"/>
          <w:b/>
          <w:bCs/>
          <w:sz w:val="28"/>
          <w:szCs w:val="28"/>
        </w:rPr>
        <w:t>十一、解决争议方式</w:t>
      </w:r>
    </w:p>
    <w:p w14:paraId="220BDF25">
      <w:pPr>
        <w:spacing w:before="71" w:beforeLines="25" w:line="360" w:lineRule="auto"/>
        <w:ind w:firstLine="560" w:firstLineChars="200"/>
        <w:rPr>
          <w:rFonts w:ascii="宋体" w:hAnsi="宋体"/>
          <w:sz w:val="28"/>
          <w:szCs w:val="28"/>
        </w:rPr>
      </w:pPr>
      <w:r>
        <w:rPr>
          <w:rFonts w:hint="eastAsia" w:ascii="宋体" w:hAnsi="宋体"/>
          <w:sz w:val="28"/>
          <w:szCs w:val="28"/>
        </w:rPr>
        <w:t>合同执行过程中发生的任何争议，如双方不能通过友好协商解决，提交广州仲裁委员会仲裁，并由败诉方承担胜诉方所支付的律师费。</w:t>
      </w:r>
    </w:p>
    <w:p w14:paraId="3135F606">
      <w:pPr>
        <w:spacing w:before="71" w:beforeLines="25" w:line="360" w:lineRule="auto"/>
        <w:ind w:firstLine="562" w:firstLineChars="200"/>
        <w:rPr>
          <w:rFonts w:ascii="宋体" w:hAnsi="宋体"/>
          <w:b/>
          <w:bCs/>
          <w:sz w:val="28"/>
          <w:szCs w:val="28"/>
        </w:rPr>
      </w:pPr>
      <w:r>
        <w:rPr>
          <w:rFonts w:hint="eastAsia" w:ascii="宋体" w:hAnsi="宋体"/>
          <w:b/>
          <w:bCs/>
          <w:sz w:val="28"/>
          <w:szCs w:val="28"/>
        </w:rPr>
        <w:t>十二、保密</w:t>
      </w:r>
    </w:p>
    <w:p w14:paraId="05BC1ECC">
      <w:pPr>
        <w:spacing w:before="71" w:beforeLines="25" w:line="360" w:lineRule="auto"/>
        <w:ind w:firstLine="560" w:firstLineChars="200"/>
        <w:rPr>
          <w:rFonts w:ascii="宋体" w:hAnsi="宋体"/>
          <w:sz w:val="28"/>
          <w:szCs w:val="28"/>
        </w:rPr>
      </w:pPr>
      <w:r>
        <w:rPr>
          <w:rFonts w:hint="eastAsia" w:ascii="宋体" w:hAnsi="宋体"/>
          <w:sz w:val="28"/>
          <w:szCs w:val="28"/>
        </w:rPr>
        <w:t>（一）中标供应商必须采取措施对本项目实施过程中收集的相关资料保密，否则，由于中标供应商过错导致的上述资料泄密的，中标供应商必须承担一切责任。项目完成后，双方均有责任对本项目的技术保密承担责任。</w:t>
      </w:r>
    </w:p>
    <w:p w14:paraId="7E11B868">
      <w:pPr>
        <w:spacing w:before="71" w:beforeLines="25" w:line="360" w:lineRule="auto"/>
        <w:ind w:firstLine="560" w:firstLineChars="200"/>
        <w:rPr>
          <w:rFonts w:ascii="宋体" w:hAnsi="宋体"/>
          <w:sz w:val="28"/>
          <w:szCs w:val="28"/>
        </w:rPr>
      </w:pPr>
      <w:r>
        <w:rPr>
          <w:rFonts w:hint="eastAsia" w:ascii="宋体" w:hAnsi="宋体"/>
          <w:sz w:val="28"/>
          <w:szCs w:val="28"/>
        </w:rPr>
        <w:t>（二）未经采购人事先书面同意，中标供应商不得将由采购人为本合同提供的任何资料提供给与本合同无关的任何第三方，不得将其用于履行本合同之外的其它用途。即使向与履行本合同有关的人员提供，也应注意保密并限于履行合同所必需的范围。</w:t>
      </w:r>
    </w:p>
    <w:p w14:paraId="1A9DBB4B">
      <w:pPr>
        <w:spacing w:before="71" w:beforeLines="25" w:line="360" w:lineRule="auto"/>
        <w:ind w:firstLine="560" w:firstLineChars="200"/>
        <w:rPr>
          <w:rFonts w:ascii="宋体" w:hAnsi="宋体"/>
          <w:sz w:val="28"/>
          <w:szCs w:val="28"/>
        </w:rPr>
      </w:pPr>
      <w:r>
        <w:rPr>
          <w:rFonts w:hint="eastAsia" w:ascii="宋体" w:hAnsi="宋体"/>
          <w:sz w:val="28"/>
          <w:szCs w:val="28"/>
        </w:rPr>
        <w:t>（三）如果采购人有要求，中标供应商在完成合同后应将有关资料还给采购人。</w:t>
      </w:r>
    </w:p>
    <w:p w14:paraId="629F5931">
      <w:pPr>
        <w:widowControl/>
        <w:spacing w:line="360" w:lineRule="auto"/>
        <w:ind w:firstLine="562" w:firstLineChars="200"/>
        <w:textAlignment w:val="baseline"/>
        <w:rPr>
          <w:rFonts w:ascii="宋体" w:hAnsi="宋体"/>
          <w:b/>
          <w:color w:val="000000"/>
          <w:sz w:val="28"/>
          <w:szCs w:val="28"/>
        </w:rPr>
      </w:pPr>
      <w:r>
        <w:rPr>
          <w:rFonts w:hint="eastAsia" w:ascii="宋体" w:hAnsi="宋体"/>
          <w:b/>
          <w:color w:val="000000"/>
          <w:sz w:val="28"/>
          <w:szCs w:val="28"/>
        </w:rPr>
        <w:t>十三、报价文件内容（报价供应商报价时需对以下内容逐条响应，且提供材料并加盖报价供应商公章,如未按要求提交或资料不齐全，视为不响应询价文件实质性要求，按无效报价处理）</w:t>
      </w:r>
    </w:p>
    <w:p w14:paraId="3AD794EA">
      <w:pPr>
        <w:widowControl/>
        <w:spacing w:line="360" w:lineRule="auto"/>
        <w:ind w:firstLine="560" w:firstLineChars="200"/>
        <w:textAlignment w:val="baseline"/>
        <w:rPr>
          <w:rFonts w:ascii="宋体" w:hAnsi="宋体"/>
          <w:color w:val="000000"/>
          <w:kern w:val="0"/>
          <w:sz w:val="28"/>
          <w:szCs w:val="28"/>
        </w:rPr>
      </w:pPr>
      <w:r>
        <w:rPr>
          <w:rFonts w:hint="eastAsia" w:ascii="宋体" w:hAnsi="宋体"/>
          <w:color w:val="000000"/>
          <w:kern w:val="0"/>
          <w:sz w:val="28"/>
          <w:szCs w:val="28"/>
        </w:rPr>
        <w:t>（一）按要求提交加盖报价供应商公章的</w:t>
      </w:r>
      <w:r>
        <w:rPr>
          <w:rFonts w:hint="eastAsia" w:ascii="宋体" w:hAnsi="宋体"/>
          <w:b/>
          <w:color w:val="000000"/>
          <w:kern w:val="0"/>
          <w:sz w:val="28"/>
          <w:szCs w:val="28"/>
        </w:rPr>
        <w:t>《报价声明》</w:t>
      </w:r>
      <w:r>
        <w:rPr>
          <w:rFonts w:hint="eastAsia" w:ascii="宋体" w:hAnsi="宋体"/>
          <w:bCs/>
          <w:color w:val="000000"/>
          <w:kern w:val="0"/>
          <w:sz w:val="28"/>
          <w:szCs w:val="28"/>
        </w:rPr>
        <w:t>（见附件1）</w:t>
      </w:r>
      <w:r>
        <w:rPr>
          <w:rFonts w:hint="eastAsia" w:ascii="宋体" w:hAnsi="宋体"/>
          <w:color w:val="000000"/>
          <w:kern w:val="0"/>
          <w:sz w:val="28"/>
          <w:szCs w:val="28"/>
        </w:rPr>
        <w:t>。</w:t>
      </w:r>
    </w:p>
    <w:p w14:paraId="4C4393EA">
      <w:pPr>
        <w:widowControl/>
        <w:spacing w:line="360" w:lineRule="auto"/>
        <w:ind w:firstLine="560" w:firstLineChars="200"/>
        <w:textAlignment w:val="baseline"/>
        <w:rPr>
          <w:rFonts w:ascii="宋体" w:hAnsi="宋体"/>
          <w:color w:val="000000"/>
          <w:kern w:val="0"/>
          <w:sz w:val="28"/>
          <w:szCs w:val="28"/>
        </w:rPr>
      </w:pPr>
      <w:r>
        <w:rPr>
          <w:rFonts w:hint="eastAsia" w:ascii="宋体" w:hAnsi="宋体"/>
          <w:color w:val="000000"/>
          <w:kern w:val="0"/>
          <w:sz w:val="28"/>
          <w:szCs w:val="28"/>
        </w:rPr>
        <w:t>（二）按要求提交加盖报价供应商公章的</w:t>
      </w:r>
      <w:r>
        <w:rPr>
          <w:rFonts w:hint="eastAsia" w:ascii="宋体" w:hAnsi="宋体"/>
          <w:b/>
          <w:color w:val="000000"/>
          <w:kern w:val="0"/>
          <w:sz w:val="28"/>
          <w:szCs w:val="28"/>
        </w:rPr>
        <w:t>《报价一览表》</w:t>
      </w:r>
      <w:r>
        <w:rPr>
          <w:rFonts w:hint="eastAsia" w:ascii="宋体" w:hAnsi="宋体"/>
          <w:bCs/>
          <w:color w:val="000000"/>
          <w:kern w:val="0"/>
          <w:sz w:val="28"/>
          <w:szCs w:val="28"/>
        </w:rPr>
        <w:t>（见附件2）</w:t>
      </w:r>
      <w:r>
        <w:rPr>
          <w:rFonts w:hint="eastAsia" w:ascii="宋体" w:hAnsi="宋体"/>
          <w:color w:val="000000"/>
          <w:kern w:val="0"/>
          <w:sz w:val="28"/>
          <w:szCs w:val="28"/>
        </w:rPr>
        <w:t>。</w:t>
      </w:r>
    </w:p>
    <w:p w14:paraId="72397241">
      <w:pPr>
        <w:widowControl/>
        <w:spacing w:line="360" w:lineRule="auto"/>
        <w:ind w:firstLine="560" w:firstLineChars="200"/>
        <w:textAlignment w:val="baseline"/>
        <w:rPr>
          <w:rFonts w:ascii="宋体" w:hAnsi="宋体"/>
          <w:color w:val="000000"/>
          <w:kern w:val="0"/>
          <w:sz w:val="28"/>
          <w:szCs w:val="28"/>
        </w:rPr>
      </w:pPr>
      <w:r>
        <w:rPr>
          <w:rFonts w:hint="eastAsia" w:ascii="宋体" w:hAnsi="宋体"/>
          <w:color w:val="000000"/>
          <w:kern w:val="0"/>
          <w:sz w:val="28"/>
          <w:szCs w:val="28"/>
        </w:rPr>
        <w:t>（三）非联合体投标承诺书（见附件3）。</w:t>
      </w:r>
    </w:p>
    <w:p w14:paraId="0E85F770">
      <w:pPr>
        <w:widowControl/>
        <w:spacing w:line="360" w:lineRule="auto"/>
        <w:ind w:firstLine="560" w:firstLineChars="200"/>
        <w:textAlignment w:val="baseline"/>
        <w:rPr>
          <w:rFonts w:ascii="宋体" w:hAnsi="宋体"/>
          <w:color w:val="000000"/>
          <w:kern w:val="0"/>
          <w:sz w:val="28"/>
          <w:szCs w:val="28"/>
        </w:rPr>
      </w:pPr>
      <w:r>
        <w:rPr>
          <w:rFonts w:hint="eastAsia" w:ascii="宋体" w:hAnsi="宋体"/>
          <w:color w:val="000000"/>
          <w:kern w:val="0"/>
          <w:sz w:val="28"/>
          <w:szCs w:val="28"/>
        </w:rPr>
        <w:t>（四）提交企业法人</w:t>
      </w:r>
      <w:r>
        <w:rPr>
          <w:rFonts w:hint="eastAsia" w:ascii="宋体" w:hAnsi="宋体"/>
          <w:b/>
          <w:color w:val="000000"/>
          <w:kern w:val="0"/>
          <w:sz w:val="28"/>
          <w:szCs w:val="28"/>
        </w:rPr>
        <w:t>《营业执照》副本</w:t>
      </w:r>
      <w:r>
        <w:rPr>
          <w:rFonts w:hint="eastAsia" w:ascii="宋体" w:hAnsi="宋体"/>
          <w:color w:val="000000"/>
          <w:kern w:val="0"/>
          <w:sz w:val="28"/>
          <w:szCs w:val="28"/>
        </w:rPr>
        <w:t>或</w:t>
      </w:r>
      <w:r>
        <w:rPr>
          <w:rFonts w:hint="eastAsia" w:ascii="宋体" w:hAnsi="宋体"/>
          <w:b/>
          <w:color w:val="000000"/>
          <w:kern w:val="0"/>
          <w:sz w:val="28"/>
          <w:szCs w:val="28"/>
        </w:rPr>
        <w:t>事业单位法人证书</w:t>
      </w:r>
      <w:r>
        <w:rPr>
          <w:rFonts w:hint="eastAsia" w:ascii="宋体" w:hAnsi="宋体"/>
          <w:color w:val="000000"/>
          <w:kern w:val="0"/>
          <w:sz w:val="28"/>
          <w:szCs w:val="28"/>
        </w:rPr>
        <w:t>或</w:t>
      </w:r>
      <w:r>
        <w:rPr>
          <w:rFonts w:hint="eastAsia" w:ascii="宋体" w:hAnsi="宋体"/>
          <w:b/>
          <w:color w:val="000000"/>
          <w:kern w:val="0"/>
          <w:sz w:val="28"/>
          <w:szCs w:val="28"/>
        </w:rPr>
        <w:t>法人登记证书复印件</w:t>
      </w:r>
      <w:r>
        <w:rPr>
          <w:rFonts w:hint="eastAsia" w:ascii="宋体" w:hAnsi="宋体"/>
          <w:color w:val="000000"/>
          <w:kern w:val="0"/>
          <w:sz w:val="28"/>
          <w:szCs w:val="28"/>
        </w:rPr>
        <w:t>。</w:t>
      </w:r>
    </w:p>
    <w:p w14:paraId="1EAD86EE">
      <w:pPr>
        <w:widowControl/>
        <w:spacing w:line="360" w:lineRule="auto"/>
        <w:ind w:firstLine="560" w:firstLineChars="200"/>
        <w:textAlignment w:val="baseline"/>
        <w:rPr>
          <w:rFonts w:ascii="宋体" w:hAnsi="宋体"/>
          <w:b/>
          <w:color w:val="000000"/>
          <w:kern w:val="0"/>
          <w:sz w:val="28"/>
          <w:szCs w:val="28"/>
        </w:rPr>
      </w:pPr>
      <w:r>
        <w:rPr>
          <w:rFonts w:hint="eastAsia" w:ascii="宋体" w:hAnsi="宋体"/>
          <w:color w:val="000000"/>
          <w:kern w:val="0"/>
          <w:sz w:val="28"/>
          <w:szCs w:val="28"/>
        </w:rPr>
        <w:t>（五）按要求提交具备承接项目的</w:t>
      </w:r>
      <w:r>
        <w:rPr>
          <w:rFonts w:hint="eastAsia" w:ascii="宋体" w:hAnsi="宋体"/>
          <w:bCs/>
          <w:sz w:val="28"/>
          <w:szCs w:val="28"/>
        </w:rPr>
        <w:t>工程造价咨询乙级或以上资质</w:t>
      </w:r>
      <w:r>
        <w:rPr>
          <w:rFonts w:hint="eastAsia" w:ascii="宋体" w:hAnsi="宋体"/>
          <w:sz w:val="28"/>
          <w:szCs w:val="28"/>
        </w:rPr>
        <w:t>证书</w:t>
      </w:r>
      <w:r>
        <w:rPr>
          <w:rFonts w:hint="eastAsia" w:ascii="宋体" w:hAnsi="宋体"/>
          <w:color w:val="000000"/>
          <w:kern w:val="0"/>
          <w:sz w:val="28"/>
          <w:szCs w:val="28"/>
        </w:rPr>
        <w:t>复印件。</w:t>
      </w:r>
    </w:p>
    <w:p w14:paraId="24BDAE08">
      <w:pPr>
        <w:widowControl/>
        <w:spacing w:line="360" w:lineRule="auto"/>
        <w:ind w:firstLine="560" w:firstLineChars="200"/>
        <w:textAlignment w:val="baseline"/>
        <w:rPr>
          <w:rFonts w:ascii="宋体" w:hAnsi="宋体"/>
          <w:color w:val="000000"/>
          <w:kern w:val="0"/>
          <w:sz w:val="28"/>
          <w:szCs w:val="28"/>
        </w:rPr>
      </w:pPr>
      <w:r>
        <w:rPr>
          <w:rFonts w:hint="eastAsia" w:ascii="宋体" w:hAnsi="宋体"/>
          <w:color w:val="000000"/>
          <w:kern w:val="0"/>
          <w:sz w:val="28"/>
          <w:szCs w:val="28"/>
        </w:rPr>
        <w:t>（六）按要求提交</w:t>
      </w:r>
      <w:r>
        <w:rPr>
          <w:rFonts w:hint="eastAsia" w:ascii="宋体" w:hAnsi="宋体"/>
          <w:b/>
          <w:color w:val="000000"/>
          <w:kern w:val="0"/>
          <w:sz w:val="28"/>
          <w:szCs w:val="28"/>
        </w:rPr>
        <w:t>法定代表人证明书、授权委托书</w:t>
      </w:r>
      <w:r>
        <w:rPr>
          <w:rFonts w:hint="eastAsia" w:ascii="宋体" w:hAnsi="宋体"/>
          <w:bCs/>
          <w:color w:val="000000"/>
          <w:kern w:val="0"/>
          <w:sz w:val="28"/>
          <w:szCs w:val="28"/>
        </w:rPr>
        <w:t>（附件4、附件5）</w:t>
      </w:r>
      <w:r>
        <w:rPr>
          <w:rFonts w:hint="eastAsia" w:ascii="宋体" w:hAnsi="宋体"/>
          <w:color w:val="000000"/>
          <w:kern w:val="0"/>
          <w:sz w:val="28"/>
          <w:szCs w:val="28"/>
        </w:rPr>
        <w:t>。</w:t>
      </w:r>
    </w:p>
    <w:p w14:paraId="0D408AE2">
      <w:pPr>
        <w:widowControl/>
        <w:spacing w:line="360" w:lineRule="auto"/>
        <w:ind w:firstLine="560" w:firstLineChars="200"/>
        <w:textAlignment w:val="baseline"/>
        <w:rPr>
          <w:rFonts w:ascii="宋体" w:hAnsi="宋体"/>
          <w:b/>
          <w:kern w:val="0"/>
          <w:sz w:val="28"/>
          <w:szCs w:val="28"/>
        </w:rPr>
      </w:pPr>
      <w:r>
        <w:rPr>
          <w:rFonts w:hint="eastAsia" w:ascii="宋体" w:hAnsi="宋体"/>
          <w:color w:val="000000"/>
          <w:kern w:val="0"/>
          <w:sz w:val="28"/>
          <w:szCs w:val="28"/>
        </w:rPr>
        <w:t>（七）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r>
        <w:rPr>
          <w:rFonts w:hint="eastAsia" w:ascii="宋体" w:hAnsi="宋体"/>
          <w:b/>
          <w:kern w:val="0"/>
          <w:sz w:val="28"/>
          <w:szCs w:val="28"/>
        </w:rPr>
        <w:t>（提供查询的页面截图）。</w:t>
      </w:r>
    </w:p>
    <w:p w14:paraId="45AC6B3B">
      <w:pPr>
        <w:widowControl/>
        <w:spacing w:line="360" w:lineRule="auto"/>
        <w:ind w:firstLine="562" w:firstLineChars="200"/>
        <w:textAlignment w:val="baseline"/>
        <w:rPr>
          <w:rFonts w:ascii="宋体" w:hAnsi="宋体"/>
          <w:color w:val="000000"/>
          <w:kern w:val="0"/>
          <w:sz w:val="28"/>
          <w:szCs w:val="28"/>
        </w:rPr>
      </w:pPr>
      <w:r>
        <w:rPr>
          <w:rFonts w:hint="eastAsia" w:ascii="宋体" w:hAnsi="宋体"/>
          <w:b/>
          <w:kern w:val="0"/>
          <w:sz w:val="28"/>
          <w:szCs w:val="28"/>
        </w:rPr>
        <w:t>（八）提交</w:t>
      </w:r>
      <w:r>
        <w:rPr>
          <w:rFonts w:hint="eastAsia" w:ascii="宋体" w:hAnsi="宋体"/>
          <w:color w:val="000000"/>
          <w:kern w:val="0"/>
          <w:sz w:val="28"/>
          <w:szCs w:val="28"/>
        </w:rPr>
        <w:t>具有独立承担民事责任能力，且具备履行合同所必需的设备和专业技术能力</w:t>
      </w:r>
      <w:r>
        <w:rPr>
          <w:rFonts w:hint="eastAsia" w:ascii="宋体" w:hAnsi="宋体"/>
          <w:b/>
          <w:color w:val="000000"/>
          <w:kern w:val="0"/>
          <w:sz w:val="28"/>
          <w:szCs w:val="28"/>
        </w:rPr>
        <w:t>（提供说明材料或承诺书）</w:t>
      </w:r>
      <w:r>
        <w:rPr>
          <w:rFonts w:hint="eastAsia" w:ascii="宋体" w:hAnsi="宋体"/>
          <w:color w:val="000000"/>
          <w:kern w:val="0"/>
          <w:sz w:val="28"/>
          <w:szCs w:val="28"/>
        </w:rPr>
        <w:t>。</w:t>
      </w:r>
    </w:p>
    <w:p w14:paraId="569C16C0">
      <w:pPr>
        <w:widowControl/>
        <w:spacing w:line="360" w:lineRule="auto"/>
        <w:ind w:firstLine="560" w:firstLineChars="200"/>
        <w:textAlignment w:val="baseline"/>
        <w:rPr>
          <w:rFonts w:ascii="宋体" w:hAnsi="宋体"/>
          <w:color w:val="000000"/>
          <w:kern w:val="0"/>
          <w:sz w:val="28"/>
          <w:szCs w:val="28"/>
        </w:rPr>
      </w:pPr>
      <w:r>
        <w:rPr>
          <w:rFonts w:hint="eastAsia" w:ascii="宋体" w:hAnsi="宋体"/>
          <w:color w:val="000000"/>
          <w:kern w:val="0"/>
          <w:sz w:val="28"/>
          <w:szCs w:val="28"/>
        </w:rPr>
        <w:t>（九）提交本项目要求的其他技术（或服务）响应文件。</w:t>
      </w:r>
    </w:p>
    <w:p w14:paraId="1CBEE2E2">
      <w:pPr>
        <w:adjustRightInd w:val="0"/>
        <w:snapToGrid w:val="0"/>
        <w:spacing w:line="360" w:lineRule="auto"/>
        <w:ind w:left="420" w:leftChars="200"/>
        <w:textAlignment w:val="baseline"/>
        <w:rPr>
          <w:rFonts w:ascii="宋体" w:hAnsi="宋体"/>
          <w:b/>
          <w:color w:val="000000"/>
          <w:sz w:val="28"/>
          <w:szCs w:val="28"/>
        </w:rPr>
      </w:pPr>
      <w:r>
        <w:rPr>
          <w:rFonts w:hint="eastAsia" w:ascii="宋体" w:hAnsi="宋体"/>
          <w:b/>
          <w:color w:val="000000"/>
          <w:sz w:val="28"/>
          <w:szCs w:val="28"/>
        </w:rPr>
        <w:t>十四、项目报价要求：</w:t>
      </w:r>
    </w:p>
    <w:p w14:paraId="1C9FA387">
      <w:pPr>
        <w:widowControl/>
        <w:spacing w:line="360" w:lineRule="auto"/>
        <w:ind w:firstLine="560" w:firstLineChars="200"/>
        <w:textAlignment w:val="baseline"/>
        <w:rPr>
          <w:rFonts w:ascii="宋体" w:hAnsi="宋体"/>
          <w:color w:val="000000"/>
          <w:kern w:val="0"/>
          <w:sz w:val="28"/>
          <w:szCs w:val="28"/>
        </w:rPr>
      </w:pPr>
      <w:r>
        <w:rPr>
          <w:rFonts w:hint="eastAsia" w:ascii="宋体" w:hAnsi="宋体"/>
          <w:color w:val="000000"/>
          <w:kern w:val="0"/>
          <w:sz w:val="28"/>
          <w:szCs w:val="28"/>
        </w:rPr>
        <w:t xml:space="preserve">（一）各供应商报价应为一次性报价，否则为无效报价。 </w:t>
      </w:r>
    </w:p>
    <w:p w14:paraId="1DCD22ED">
      <w:pPr>
        <w:widowControl/>
        <w:spacing w:line="360" w:lineRule="auto"/>
        <w:ind w:firstLine="560" w:firstLineChars="200"/>
        <w:textAlignment w:val="baseline"/>
        <w:rPr>
          <w:rFonts w:ascii="宋体" w:hAnsi="宋体"/>
          <w:color w:val="000000"/>
          <w:kern w:val="0"/>
          <w:sz w:val="28"/>
          <w:szCs w:val="28"/>
        </w:rPr>
      </w:pPr>
      <w:r>
        <w:rPr>
          <w:rFonts w:hint="eastAsia" w:ascii="宋体" w:hAnsi="宋体"/>
          <w:color w:val="000000"/>
          <w:kern w:val="0"/>
          <w:sz w:val="28"/>
          <w:szCs w:val="28"/>
        </w:rPr>
        <w:t>（二）报价供应商只能提供一份报价方案，否则为无效报价。</w:t>
      </w:r>
    </w:p>
    <w:p w14:paraId="6243111F">
      <w:pPr>
        <w:widowControl/>
        <w:spacing w:line="360" w:lineRule="auto"/>
        <w:ind w:firstLine="560" w:firstLineChars="200"/>
        <w:textAlignment w:val="baseline"/>
        <w:rPr>
          <w:rFonts w:ascii="宋体" w:hAnsi="宋体"/>
          <w:color w:val="000000"/>
          <w:kern w:val="0"/>
          <w:sz w:val="28"/>
          <w:szCs w:val="28"/>
        </w:rPr>
      </w:pPr>
      <w:r>
        <w:rPr>
          <w:rFonts w:hint="eastAsia" w:ascii="宋体" w:hAnsi="宋体"/>
          <w:color w:val="000000"/>
          <w:kern w:val="0"/>
          <w:sz w:val="28"/>
          <w:szCs w:val="28"/>
        </w:rPr>
        <w:t>（三）报价文件不符合要求者视为无效报价。</w:t>
      </w:r>
    </w:p>
    <w:p w14:paraId="4C36CB0D">
      <w:pPr>
        <w:widowControl/>
        <w:spacing w:line="360" w:lineRule="auto"/>
        <w:ind w:firstLine="560" w:firstLineChars="200"/>
        <w:textAlignment w:val="baseline"/>
        <w:rPr>
          <w:rFonts w:ascii="宋体" w:hAnsi="宋体"/>
          <w:color w:val="000000"/>
          <w:kern w:val="0"/>
          <w:sz w:val="28"/>
          <w:szCs w:val="28"/>
        </w:rPr>
      </w:pPr>
      <w:r>
        <w:rPr>
          <w:rFonts w:hint="eastAsia" w:ascii="宋体" w:hAnsi="宋体"/>
          <w:color w:val="000000"/>
          <w:kern w:val="0"/>
          <w:sz w:val="28"/>
          <w:szCs w:val="28"/>
        </w:rPr>
        <w:t>（四）供应商报价超过预算金额的视为无效报价。</w:t>
      </w:r>
    </w:p>
    <w:p w14:paraId="5163D32C">
      <w:pPr>
        <w:widowControl/>
        <w:spacing w:line="360" w:lineRule="auto"/>
        <w:ind w:firstLine="562" w:firstLineChars="200"/>
        <w:textAlignment w:val="baseline"/>
        <w:rPr>
          <w:rFonts w:ascii="宋体" w:hAnsi="宋体"/>
          <w:b/>
          <w:bCs/>
          <w:color w:val="000000"/>
          <w:kern w:val="0"/>
          <w:sz w:val="28"/>
          <w:szCs w:val="28"/>
        </w:rPr>
      </w:pPr>
      <w:r>
        <w:rPr>
          <w:rFonts w:hint="eastAsia" w:ascii="宋体" w:hAnsi="宋体"/>
          <w:b/>
          <w:bCs/>
          <w:color w:val="000000"/>
          <w:kern w:val="0"/>
          <w:sz w:val="28"/>
          <w:szCs w:val="28"/>
        </w:rPr>
        <w:t>（五）本次询价须满足</w:t>
      </w:r>
      <w:r>
        <w:rPr>
          <w:rFonts w:hint="eastAsia" w:ascii="宋体" w:hAnsi="宋体"/>
          <w:b/>
          <w:bCs/>
          <w:color w:val="000000"/>
          <w:kern w:val="0"/>
          <w:sz w:val="28"/>
          <w:szCs w:val="28"/>
          <w:u w:val="single"/>
        </w:rPr>
        <w:t>三</w:t>
      </w:r>
      <w:r>
        <w:rPr>
          <w:rFonts w:hint="eastAsia" w:ascii="宋体" w:hAnsi="宋体"/>
          <w:b/>
          <w:bCs/>
          <w:color w:val="000000"/>
          <w:kern w:val="0"/>
          <w:sz w:val="28"/>
          <w:szCs w:val="28"/>
        </w:rPr>
        <w:t>家或以上供应商提交报价，价低者中标；若有效报价不足</w:t>
      </w:r>
      <w:r>
        <w:rPr>
          <w:rFonts w:hint="eastAsia" w:ascii="宋体" w:hAnsi="宋体"/>
          <w:b/>
          <w:bCs/>
          <w:color w:val="000000"/>
          <w:kern w:val="0"/>
          <w:sz w:val="28"/>
          <w:szCs w:val="28"/>
          <w:u w:val="single"/>
        </w:rPr>
        <w:t>三</w:t>
      </w:r>
      <w:r>
        <w:rPr>
          <w:rFonts w:hint="eastAsia" w:ascii="宋体" w:hAnsi="宋体"/>
          <w:b/>
          <w:bCs/>
          <w:color w:val="000000"/>
          <w:kern w:val="0"/>
          <w:sz w:val="28"/>
          <w:szCs w:val="28"/>
        </w:rPr>
        <w:t>家，则本次询价失败。</w:t>
      </w:r>
    </w:p>
    <w:p w14:paraId="4D058764">
      <w:pPr>
        <w:widowControl/>
        <w:spacing w:line="360" w:lineRule="auto"/>
        <w:ind w:firstLine="560" w:firstLineChars="200"/>
        <w:textAlignment w:val="baseline"/>
        <w:rPr>
          <w:rFonts w:ascii="宋体" w:hAnsi="宋体"/>
          <w:color w:val="000000"/>
          <w:kern w:val="0"/>
          <w:sz w:val="28"/>
          <w:szCs w:val="28"/>
        </w:rPr>
      </w:pPr>
      <w:r>
        <w:rPr>
          <w:rFonts w:hint="eastAsia" w:ascii="宋体" w:hAnsi="宋体"/>
          <w:color w:val="000000"/>
          <w:kern w:val="0"/>
          <w:sz w:val="28"/>
          <w:szCs w:val="28"/>
        </w:rPr>
        <w:t>（六）无论询价结果如何，供应商应承担准备文件和递交文件所发生的任何成本和费用。</w:t>
      </w:r>
    </w:p>
    <w:p w14:paraId="202D28EE">
      <w:pPr>
        <w:widowControl/>
        <w:spacing w:line="360" w:lineRule="auto"/>
        <w:ind w:firstLine="560" w:firstLineChars="200"/>
        <w:textAlignment w:val="baseline"/>
        <w:rPr>
          <w:rFonts w:ascii="宋体" w:hAnsi="宋体"/>
          <w:color w:val="000000"/>
          <w:kern w:val="0"/>
          <w:sz w:val="28"/>
          <w:szCs w:val="28"/>
        </w:rPr>
      </w:pPr>
      <w:r>
        <w:rPr>
          <w:rFonts w:hint="eastAsia" w:ascii="宋体" w:hAnsi="宋体"/>
          <w:color w:val="000000"/>
          <w:kern w:val="0"/>
          <w:sz w:val="28"/>
          <w:szCs w:val="28"/>
        </w:rPr>
        <w:t>（七）供应商所递交的报价文件须密封完好。采购人拒收没有密封完好的报价文件。</w:t>
      </w:r>
    </w:p>
    <w:p w14:paraId="244F53D0">
      <w:pPr>
        <w:widowControl/>
        <w:spacing w:line="360" w:lineRule="auto"/>
        <w:ind w:firstLine="560" w:firstLineChars="200"/>
        <w:textAlignment w:val="baseline"/>
        <w:rPr>
          <w:rFonts w:ascii="宋体" w:hAnsi="宋体"/>
          <w:color w:val="000000"/>
          <w:kern w:val="0"/>
          <w:sz w:val="28"/>
          <w:szCs w:val="28"/>
        </w:rPr>
      </w:pPr>
      <w:r>
        <w:rPr>
          <w:rFonts w:hint="eastAsia" w:ascii="宋体" w:hAnsi="宋体"/>
          <w:color w:val="000000"/>
          <w:kern w:val="0"/>
          <w:sz w:val="28"/>
          <w:szCs w:val="28"/>
        </w:rPr>
        <w:t>（八）递交了报价文件但不参加唱价的供应商，视为默认唱价结果。</w:t>
      </w:r>
    </w:p>
    <w:p w14:paraId="5414DDE5">
      <w:pPr>
        <w:adjustRightInd w:val="0"/>
        <w:snapToGrid w:val="0"/>
        <w:spacing w:line="360" w:lineRule="auto"/>
        <w:ind w:left="420" w:leftChars="200"/>
        <w:textAlignment w:val="baseline"/>
        <w:rPr>
          <w:rFonts w:ascii="宋体" w:hAnsi="宋体"/>
          <w:b/>
          <w:color w:val="000000"/>
          <w:sz w:val="28"/>
          <w:szCs w:val="28"/>
        </w:rPr>
      </w:pPr>
      <w:r>
        <w:rPr>
          <w:rFonts w:hint="eastAsia" w:ascii="宋体" w:hAnsi="宋体"/>
          <w:b/>
          <w:color w:val="000000"/>
          <w:sz w:val="28"/>
          <w:szCs w:val="28"/>
        </w:rPr>
        <w:t>十五、确定成交供应商原则</w:t>
      </w:r>
    </w:p>
    <w:p w14:paraId="3ECD23F4">
      <w:pPr>
        <w:widowControl/>
        <w:spacing w:line="360" w:lineRule="auto"/>
        <w:ind w:firstLine="560" w:firstLineChars="200"/>
        <w:textAlignment w:val="baseline"/>
        <w:rPr>
          <w:rFonts w:ascii="宋体" w:hAnsi="宋体"/>
          <w:color w:val="000000"/>
          <w:kern w:val="0"/>
          <w:sz w:val="28"/>
          <w:szCs w:val="28"/>
        </w:rPr>
      </w:pPr>
      <w:r>
        <w:rPr>
          <w:rFonts w:hint="eastAsia" w:ascii="宋体" w:hAnsi="宋体"/>
          <w:color w:val="000000"/>
          <w:kern w:val="0"/>
          <w:sz w:val="28"/>
          <w:szCs w:val="28"/>
        </w:rPr>
        <w:t>（一）在通过资格性与符合性审查、满足技术（或服务）需求有效报价3家或以上的，按照</w:t>
      </w:r>
      <w:r>
        <w:rPr>
          <w:rFonts w:hint="eastAsia" w:ascii="宋体" w:hAnsi="宋体"/>
          <w:b/>
          <w:bCs/>
          <w:color w:val="000000"/>
          <w:kern w:val="0"/>
          <w:sz w:val="28"/>
          <w:szCs w:val="28"/>
          <w:u w:val="single"/>
        </w:rPr>
        <w:t>下浮率最高原则</w:t>
      </w:r>
      <w:r>
        <w:rPr>
          <w:rFonts w:hint="eastAsia" w:ascii="宋体" w:hAnsi="宋体"/>
          <w:color w:val="000000"/>
          <w:kern w:val="0"/>
          <w:sz w:val="28"/>
          <w:szCs w:val="28"/>
        </w:rPr>
        <w:t>确定成交供应商。</w:t>
      </w:r>
      <w:r>
        <w:rPr>
          <w:rFonts w:hint="eastAsia" w:ascii="宋体" w:hAnsi="宋体"/>
          <w:b/>
          <w:bCs/>
          <w:color w:val="000000"/>
          <w:kern w:val="0"/>
          <w:sz w:val="28"/>
          <w:szCs w:val="28"/>
          <w:u w:val="single"/>
        </w:rPr>
        <w:t>报价下浮率最高</w:t>
      </w:r>
      <w:r>
        <w:rPr>
          <w:rFonts w:hint="eastAsia" w:ascii="宋体" w:hAnsi="宋体"/>
          <w:color w:val="000000"/>
          <w:kern w:val="0"/>
          <w:sz w:val="28"/>
          <w:szCs w:val="28"/>
        </w:rPr>
        <w:t>的供应商为第一成交候选人，</w:t>
      </w:r>
      <w:r>
        <w:rPr>
          <w:rFonts w:hint="eastAsia" w:ascii="宋体" w:hAnsi="宋体"/>
          <w:b/>
          <w:bCs/>
          <w:color w:val="000000"/>
          <w:kern w:val="0"/>
          <w:sz w:val="28"/>
          <w:szCs w:val="28"/>
          <w:u w:val="single"/>
        </w:rPr>
        <w:t>报价下浮率第二高</w:t>
      </w:r>
      <w:r>
        <w:rPr>
          <w:rFonts w:hint="eastAsia" w:ascii="宋体" w:hAnsi="宋体"/>
          <w:color w:val="000000"/>
          <w:kern w:val="0"/>
          <w:sz w:val="28"/>
          <w:szCs w:val="28"/>
        </w:rPr>
        <w:t>的供应商为第二成交候选人，</w:t>
      </w:r>
      <w:r>
        <w:rPr>
          <w:rFonts w:hint="eastAsia" w:ascii="宋体" w:hAnsi="宋体"/>
          <w:b/>
          <w:bCs/>
          <w:color w:val="000000"/>
          <w:kern w:val="0"/>
          <w:sz w:val="28"/>
          <w:szCs w:val="28"/>
          <w:u w:val="single"/>
        </w:rPr>
        <w:t>报价下浮率第三高</w:t>
      </w:r>
      <w:r>
        <w:rPr>
          <w:rFonts w:hint="eastAsia" w:ascii="宋体" w:hAnsi="宋体"/>
          <w:color w:val="000000"/>
          <w:kern w:val="0"/>
          <w:sz w:val="28"/>
          <w:szCs w:val="28"/>
        </w:rPr>
        <w:t>的供应商为第三成交候选人，依次类推。若有效报价不足3家，本次询价失败。</w:t>
      </w:r>
    </w:p>
    <w:p w14:paraId="1A7C4495">
      <w:pPr>
        <w:widowControl/>
        <w:spacing w:line="360" w:lineRule="auto"/>
        <w:ind w:firstLine="560" w:firstLineChars="200"/>
        <w:textAlignment w:val="baseline"/>
        <w:rPr>
          <w:rFonts w:ascii="宋体" w:hAnsi="宋体"/>
          <w:color w:val="000000"/>
          <w:kern w:val="0"/>
          <w:sz w:val="28"/>
          <w:szCs w:val="28"/>
        </w:rPr>
      </w:pPr>
      <w:r>
        <w:rPr>
          <w:rFonts w:hint="eastAsia" w:ascii="宋体" w:hAnsi="宋体"/>
          <w:color w:val="000000"/>
          <w:kern w:val="0"/>
          <w:sz w:val="28"/>
          <w:szCs w:val="28"/>
        </w:rPr>
        <w:t>（二）当出现相同报价时，按收到递交纸质版报价文件的</w:t>
      </w:r>
      <w:r>
        <w:rPr>
          <w:rFonts w:hint="eastAsia" w:ascii="宋体" w:hAnsi="宋体"/>
          <w:b/>
          <w:bCs/>
          <w:color w:val="000000"/>
          <w:kern w:val="0"/>
          <w:sz w:val="28"/>
          <w:szCs w:val="28"/>
        </w:rPr>
        <w:t>签到</w:t>
      </w:r>
      <w:r>
        <w:rPr>
          <w:rFonts w:hint="eastAsia" w:ascii="宋体" w:hAnsi="宋体"/>
          <w:color w:val="000000"/>
          <w:kern w:val="0"/>
          <w:sz w:val="28"/>
          <w:szCs w:val="28"/>
        </w:rPr>
        <w:t>先后顺序，由采购小组成员从号码箱中随机代抽取一个乒乓球，以乒乓球上标注的号码数作为相同报价的供应商的排名顺序（从小到大）。</w:t>
      </w:r>
    </w:p>
    <w:p w14:paraId="5C98841A">
      <w:pPr>
        <w:widowControl/>
        <w:spacing w:line="360" w:lineRule="auto"/>
        <w:ind w:firstLine="560" w:firstLineChars="200"/>
        <w:textAlignment w:val="baseline"/>
        <w:rPr>
          <w:rFonts w:ascii="宋体" w:hAnsi="宋体"/>
          <w:color w:val="000000"/>
          <w:kern w:val="0"/>
          <w:sz w:val="28"/>
          <w:szCs w:val="28"/>
        </w:rPr>
      </w:pPr>
      <w:r>
        <w:rPr>
          <w:rFonts w:hint="eastAsia" w:ascii="宋体" w:hAnsi="宋体"/>
          <w:color w:val="000000"/>
          <w:kern w:val="0"/>
          <w:sz w:val="28"/>
          <w:szCs w:val="28"/>
        </w:rPr>
        <w:t>（三）若成交供应商放弃成交资格或不按照学校采购制度的规定签订合同或被采购人单方面解除合同的，采购人有权依照排名先后顺序依次选择其他供应商作为成交供应商。</w:t>
      </w:r>
    </w:p>
    <w:p w14:paraId="600DDD33">
      <w:pPr>
        <w:adjustRightInd w:val="0"/>
        <w:snapToGrid w:val="0"/>
        <w:spacing w:line="360" w:lineRule="auto"/>
        <w:ind w:firstLine="281" w:firstLineChars="100"/>
        <w:textAlignment w:val="baseline"/>
        <w:rPr>
          <w:rFonts w:ascii="宋体" w:hAnsi="宋体"/>
          <w:b/>
          <w:color w:val="000000"/>
          <w:sz w:val="28"/>
          <w:szCs w:val="28"/>
        </w:rPr>
      </w:pPr>
      <w:r>
        <w:rPr>
          <w:rFonts w:hint="eastAsia" w:ascii="宋体" w:hAnsi="宋体"/>
          <w:b/>
          <w:color w:val="000000"/>
          <w:sz w:val="28"/>
          <w:szCs w:val="28"/>
        </w:rPr>
        <w:t>十六、如果本次供应商报价均超过本项目预算金额，本次询价采购失败。</w:t>
      </w:r>
    </w:p>
    <w:p w14:paraId="1096444B">
      <w:pPr>
        <w:adjustRightInd w:val="0"/>
        <w:snapToGrid w:val="0"/>
        <w:spacing w:line="360" w:lineRule="auto"/>
        <w:ind w:firstLine="281" w:firstLineChars="100"/>
        <w:textAlignment w:val="baseline"/>
        <w:rPr>
          <w:rFonts w:hint="eastAsia" w:ascii="宋体" w:hAnsi="宋体"/>
          <w:kern w:val="0"/>
          <w:sz w:val="28"/>
          <w:szCs w:val="28"/>
        </w:rPr>
      </w:pPr>
      <w:r>
        <w:rPr>
          <w:rFonts w:hint="eastAsia" w:ascii="宋体" w:hAnsi="宋体"/>
          <w:b/>
          <w:sz w:val="28"/>
          <w:szCs w:val="28"/>
        </w:rPr>
        <w:t>十七、</w:t>
      </w:r>
      <w:r>
        <w:rPr>
          <w:rFonts w:hint="eastAsia" w:ascii="宋体" w:hAnsi="宋体"/>
          <w:b/>
          <w:sz w:val="28"/>
          <w:szCs w:val="28"/>
          <w:lang w:val="en-US" w:eastAsia="zh-CN"/>
        </w:rPr>
        <w:t>公告时间：</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日</w:t>
      </w:r>
    </w:p>
    <w:p w14:paraId="1D7C7235">
      <w:pPr>
        <w:widowControl/>
        <w:spacing w:line="360" w:lineRule="auto"/>
        <w:ind w:firstLine="281" w:firstLineChars="100"/>
        <w:textAlignment w:val="baseline"/>
      </w:pPr>
      <w:r>
        <w:rPr>
          <w:rFonts w:hint="eastAsia" w:ascii="宋体" w:hAnsi="宋体"/>
          <w:b/>
          <w:sz w:val="28"/>
          <w:szCs w:val="28"/>
          <w:lang w:val="en-US" w:eastAsia="zh-CN"/>
        </w:rPr>
        <w:t>十八、询价</w:t>
      </w:r>
      <w:r>
        <w:rPr>
          <w:rFonts w:hint="eastAsia" w:ascii="宋体" w:hAnsi="宋体"/>
          <w:b/>
          <w:sz w:val="28"/>
          <w:szCs w:val="28"/>
        </w:rPr>
        <w:t>文件送达时间：</w:t>
      </w:r>
      <w:r>
        <w:rPr>
          <w:rFonts w:hint="eastAsia" w:ascii="宋体" w:hAnsi="宋体"/>
          <w:b w:val="0"/>
          <w:bCs/>
          <w:sz w:val="28"/>
          <w:szCs w:val="28"/>
        </w:rPr>
        <w:t>202</w:t>
      </w:r>
      <w:r>
        <w:rPr>
          <w:rFonts w:hint="eastAsia" w:ascii="宋体" w:hAnsi="宋体"/>
          <w:b w:val="0"/>
          <w:bCs/>
          <w:sz w:val="28"/>
          <w:szCs w:val="28"/>
          <w:lang w:val="en-US" w:eastAsia="zh-CN"/>
        </w:rPr>
        <w:t>6</w:t>
      </w:r>
      <w:r>
        <w:rPr>
          <w:rFonts w:hint="eastAsia" w:ascii="宋体" w:hAnsi="宋体"/>
          <w:b w:val="0"/>
          <w:bCs/>
          <w:sz w:val="28"/>
          <w:szCs w:val="28"/>
        </w:rPr>
        <w:t>年1</w:t>
      </w:r>
      <w:r>
        <w:rPr>
          <w:rFonts w:hint="eastAsia" w:ascii="宋体" w:hAnsi="宋体"/>
          <w:b w:val="0"/>
          <w:bCs/>
          <w:sz w:val="28"/>
          <w:szCs w:val="28"/>
          <w:lang w:val="en-US" w:eastAsia="zh-CN"/>
        </w:rPr>
        <w:t>1</w:t>
      </w:r>
      <w:r>
        <w:rPr>
          <w:rFonts w:hint="eastAsia" w:ascii="宋体" w:hAnsi="宋体"/>
          <w:b w:val="0"/>
          <w:bCs/>
          <w:sz w:val="28"/>
          <w:szCs w:val="28"/>
        </w:rPr>
        <w:t>月</w:t>
      </w:r>
      <w:r>
        <w:rPr>
          <w:rFonts w:hint="eastAsia" w:ascii="宋体" w:hAnsi="宋体"/>
          <w:b w:val="0"/>
          <w:bCs/>
          <w:sz w:val="28"/>
          <w:szCs w:val="28"/>
          <w:lang w:val="en-US" w:eastAsia="zh-CN"/>
        </w:rPr>
        <w:t>12</w:t>
      </w:r>
      <w:r>
        <w:rPr>
          <w:rFonts w:hint="eastAsia" w:ascii="宋体" w:hAnsi="宋体"/>
          <w:b w:val="0"/>
          <w:bCs/>
          <w:sz w:val="28"/>
          <w:szCs w:val="28"/>
        </w:rPr>
        <w:t>日—</w:t>
      </w:r>
      <w:r>
        <w:rPr>
          <w:rFonts w:hint="eastAsia" w:ascii="宋体" w:hAnsi="宋体"/>
          <w:b w:val="0"/>
          <w:bCs/>
          <w:sz w:val="28"/>
          <w:szCs w:val="28"/>
          <w:lang w:val="en-US" w:eastAsia="zh-CN"/>
        </w:rPr>
        <w:t>16</w:t>
      </w:r>
      <w:r>
        <w:rPr>
          <w:rFonts w:hint="eastAsia" w:ascii="宋体" w:hAnsi="宋体"/>
          <w:b w:val="0"/>
          <w:bCs/>
          <w:sz w:val="28"/>
          <w:szCs w:val="28"/>
        </w:rPr>
        <w:t>日下午17:00前。</w:t>
      </w:r>
    </w:p>
    <w:p w14:paraId="6B5818F2">
      <w:pPr>
        <w:widowControl/>
        <w:spacing w:line="360" w:lineRule="auto"/>
        <w:ind w:firstLine="281" w:firstLineChars="100"/>
        <w:textAlignment w:val="baseline"/>
        <w:rPr>
          <w:rFonts w:ascii="宋体" w:hAnsi="宋体"/>
          <w:kern w:val="0"/>
          <w:sz w:val="28"/>
          <w:szCs w:val="28"/>
        </w:rPr>
      </w:pPr>
      <w:r>
        <w:rPr>
          <w:rFonts w:hint="eastAsia" w:ascii="宋体" w:hAnsi="宋体"/>
          <w:b/>
          <w:sz w:val="28"/>
          <w:szCs w:val="28"/>
        </w:rPr>
        <w:t>十</w:t>
      </w:r>
      <w:r>
        <w:rPr>
          <w:rFonts w:hint="eastAsia" w:ascii="宋体" w:hAnsi="宋体"/>
          <w:b/>
          <w:sz w:val="28"/>
          <w:szCs w:val="28"/>
          <w:lang w:val="en-US" w:eastAsia="zh-CN"/>
        </w:rPr>
        <w:t>九</w:t>
      </w:r>
      <w:r>
        <w:rPr>
          <w:rFonts w:hint="eastAsia" w:ascii="宋体" w:hAnsi="宋体"/>
          <w:b/>
          <w:sz w:val="28"/>
          <w:szCs w:val="28"/>
        </w:rPr>
        <w:t>、</w:t>
      </w:r>
      <w:r>
        <w:rPr>
          <w:rFonts w:hint="eastAsia" w:ascii="宋体" w:hAnsi="宋体"/>
          <w:b/>
          <w:sz w:val="28"/>
          <w:szCs w:val="28"/>
          <w:lang w:val="en-US" w:eastAsia="zh-CN"/>
        </w:rPr>
        <w:t>询价</w:t>
      </w:r>
      <w:r>
        <w:rPr>
          <w:rFonts w:hint="eastAsia" w:ascii="宋体" w:hAnsi="宋体"/>
          <w:b/>
          <w:sz w:val="28"/>
          <w:szCs w:val="28"/>
        </w:rPr>
        <w:t>文件</w:t>
      </w:r>
      <w:r>
        <w:rPr>
          <w:rFonts w:hint="eastAsia" w:ascii="宋体" w:hAnsi="宋体"/>
          <w:b/>
          <w:sz w:val="28"/>
          <w:szCs w:val="28"/>
          <w:lang w:val="en-US" w:eastAsia="zh-CN"/>
        </w:rPr>
        <w:t>送达</w:t>
      </w:r>
      <w:r>
        <w:rPr>
          <w:rFonts w:hint="eastAsia" w:ascii="宋体" w:hAnsi="宋体"/>
          <w:b/>
          <w:sz w:val="28"/>
          <w:szCs w:val="28"/>
        </w:rPr>
        <w:t>地点：</w:t>
      </w:r>
      <w:r>
        <w:rPr>
          <w:rFonts w:hint="eastAsia" w:ascii="宋体" w:hAnsi="宋体"/>
          <w:sz w:val="28"/>
          <w:szCs w:val="28"/>
        </w:rPr>
        <w:t>广东省佛山市三水区云东海</w:t>
      </w:r>
      <w:r>
        <w:rPr>
          <w:rFonts w:hint="eastAsia" w:ascii="宋体" w:hAnsi="宋体"/>
          <w:sz w:val="28"/>
          <w:szCs w:val="28"/>
          <w:lang w:val="en-US" w:eastAsia="zh-CN"/>
        </w:rPr>
        <w:t>街道学海路1号</w:t>
      </w:r>
      <w:r>
        <w:rPr>
          <w:rFonts w:hint="eastAsia" w:ascii="宋体" w:hAnsi="宋体"/>
          <w:kern w:val="0"/>
          <w:sz w:val="28"/>
          <w:szCs w:val="28"/>
        </w:rPr>
        <w:t>广东财经大学佛山校区后勤办厚德楼2</w:t>
      </w:r>
      <w:r>
        <w:rPr>
          <w:rFonts w:ascii="宋体" w:hAnsi="宋体"/>
          <w:kern w:val="0"/>
          <w:sz w:val="28"/>
          <w:szCs w:val="28"/>
        </w:rPr>
        <w:t>12</w:t>
      </w:r>
      <w:r>
        <w:rPr>
          <w:rFonts w:hint="eastAsia" w:ascii="宋体" w:hAnsi="宋体"/>
          <w:kern w:val="0"/>
          <w:sz w:val="28"/>
          <w:szCs w:val="28"/>
        </w:rPr>
        <w:t>办公室（联系人</w:t>
      </w:r>
      <w:r>
        <w:rPr>
          <w:rFonts w:hint="eastAsia" w:ascii="宋体" w:hAnsi="宋体"/>
          <w:kern w:val="0"/>
          <w:sz w:val="28"/>
          <w:szCs w:val="28"/>
          <w:lang w:eastAsia="zh-CN"/>
        </w:rPr>
        <w:t>：</w:t>
      </w:r>
      <w:r>
        <w:rPr>
          <w:rFonts w:hint="eastAsia" w:ascii="宋体" w:hAnsi="宋体"/>
          <w:kern w:val="0"/>
          <w:sz w:val="28"/>
          <w:szCs w:val="28"/>
          <w:lang w:val="en-US" w:eastAsia="zh-CN"/>
        </w:rPr>
        <w:t>罗</w:t>
      </w:r>
      <w:r>
        <w:rPr>
          <w:rFonts w:hint="eastAsia" w:ascii="宋体" w:hAnsi="宋体"/>
          <w:kern w:val="0"/>
          <w:sz w:val="28"/>
          <w:szCs w:val="28"/>
        </w:rPr>
        <w:t>老师，联系电话：</w:t>
      </w:r>
      <w:r>
        <w:rPr>
          <w:rFonts w:ascii="宋体" w:hAnsi="宋体"/>
          <w:kern w:val="0"/>
          <w:sz w:val="28"/>
          <w:szCs w:val="28"/>
        </w:rPr>
        <w:t>0757</w:t>
      </w:r>
      <w:r>
        <w:rPr>
          <w:rFonts w:hint="eastAsia" w:ascii="宋体" w:hAnsi="宋体"/>
          <w:kern w:val="0"/>
          <w:sz w:val="28"/>
          <w:szCs w:val="28"/>
        </w:rPr>
        <w:t>-</w:t>
      </w:r>
      <w:r>
        <w:rPr>
          <w:rFonts w:ascii="宋体" w:hAnsi="宋体"/>
          <w:kern w:val="0"/>
          <w:sz w:val="28"/>
          <w:szCs w:val="28"/>
        </w:rPr>
        <w:t>8782</w:t>
      </w:r>
      <w:r>
        <w:rPr>
          <w:rFonts w:hint="eastAsia" w:ascii="宋体" w:hAnsi="宋体"/>
          <w:kern w:val="0"/>
          <w:sz w:val="28"/>
          <w:szCs w:val="28"/>
          <w:lang w:val="en-US" w:eastAsia="zh-CN"/>
        </w:rPr>
        <w:t>8965</w:t>
      </w:r>
      <w:r>
        <w:rPr>
          <w:rFonts w:hint="eastAsia" w:ascii="宋体" w:hAnsi="宋体"/>
          <w:kern w:val="0"/>
          <w:sz w:val="28"/>
          <w:szCs w:val="28"/>
        </w:rPr>
        <w:t>）。</w:t>
      </w:r>
      <w:r>
        <w:rPr>
          <w:rFonts w:hint="eastAsia" w:ascii="宋体" w:hAnsi="宋体"/>
          <w:kern w:val="0"/>
          <w:sz w:val="28"/>
          <w:szCs w:val="28"/>
          <w:lang w:eastAsia="zh-CN"/>
        </w:rPr>
        <w:t>（</w:t>
      </w:r>
      <w:r>
        <w:rPr>
          <w:rFonts w:hint="eastAsia" w:ascii="仿宋_GB2312" w:hAnsi="仿宋_GB2312" w:eastAsia="仿宋_GB2312" w:cs="仿宋_GB2312"/>
          <w:sz w:val="32"/>
          <w:szCs w:val="32"/>
        </w:rPr>
        <w:t>以</w:t>
      </w:r>
      <w:r>
        <w:rPr>
          <w:rFonts w:hint="eastAsia" w:ascii="仿宋_GB2312" w:hAnsi="仿宋_GB2312" w:eastAsia="仿宋_GB2312" w:cs="仿宋_GB2312"/>
          <w:sz w:val="32"/>
          <w:szCs w:val="32"/>
          <w:lang w:val="en-US" w:eastAsia="zh-CN"/>
        </w:rPr>
        <w:t>快递邮寄</w:t>
      </w:r>
      <w:r>
        <w:rPr>
          <w:rFonts w:hint="eastAsia" w:ascii="仿宋_GB2312" w:hAnsi="仿宋_GB2312" w:eastAsia="仿宋_GB2312" w:cs="仿宋_GB2312"/>
          <w:sz w:val="32"/>
          <w:szCs w:val="32"/>
        </w:rPr>
        <w:t>时间为准</w:t>
      </w:r>
      <w:r>
        <w:rPr>
          <w:rFonts w:hint="eastAsia" w:ascii="宋体" w:hAnsi="宋体"/>
          <w:kern w:val="0"/>
          <w:sz w:val="28"/>
          <w:szCs w:val="28"/>
        </w:rPr>
        <w:t>）</w:t>
      </w:r>
    </w:p>
    <w:p w14:paraId="3ABD3FBB">
      <w:pPr>
        <w:adjustRightInd w:val="0"/>
        <w:snapToGrid w:val="0"/>
        <w:spacing w:line="360" w:lineRule="auto"/>
        <w:ind w:firstLine="281" w:firstLineChars="100"/>
        <w:textAlignment w:val="baseline"/>
        <w:rPr>
          <w:rFonts w:ascii="宋体" w:hAnsi="宋体"/>
          <w:kern w:val="0"/>
          <w:sz w:val="28"/>
          <w:szCs w:val="28"/>
        </w:rPr>
      </w:pPr>
      <w:r>
        <w:rPr>
          <w:rFonts w:hint="eastAsia" w:ascii="宋体" w:hAnsi="宋体"/>
          <w:b/>
          <w:kern w:val="0"/>
          <w:sz w:val="28"/>
          <w:szCs w:val="28"/>
          <w:lang w:val="en-US" w:eastAsia="zh-CN"/>
        </w:rPr>
        <w:t>二十</w:t>
      </w:r>
      <w:r>
        <w:rPr>
          <w:rFonts w:hint="eastAsia" w:ascii="宋体" w:hAnsi="宋体"/>
          <w:b/>
          <w:kern w:val="0"/>
          <w:sz w:val="28"/>
          <w:szCs w:val="28"/>
        </w:rPr>
        <w:t>、询价评审时间及地点：</w:t>
      </w:r>
      <w:r>
        <w:rPr>
          <w:rFonts w:hint="eastAsia" w:ascii="宋体" w:hAnsi="宋体"/>
          <w:kern w:val="0"/>
          <w:sz w:val="28"/>
          <w:szCs w:val="28"/>
          <w:u w:val="none"/>
        </w:rPr>
        <w:t>202</w:t>
      </w:r>
      <w:r>
        <w:rPr>
          <w:rFonts w:hint="eastAsia" w:ascii="宋体" w:hAnsi="宋体"/>
          <w:kern w:val="0"/>
          <w:sz w:val="28"/>
          <w:szCs w:val="28"/>
          <w:u w:val="none"/>
          <w:lang w:val="en-US" w:eastAsia="zh-CN"/>
        </w:rPr>
        <w:t>6</w:t>
      </w:r>
      <w:r>
        <w:rPr>
          <w:rFonts w:hint="eastAsia" w:ascii="宋体" w:hAnsi="宋体"/>
          <w:kern w:val="0"/>
          <w:sz w:val="28"/>
          <w:szCs w:val="28"/>
        </w:rPr>
        <w:t>年1</w:t>
      </w:r>
      <w:r>
        <w:rPr>
          <w:rFonts w:hint="eastAsia" w:ascii="宋体" w:hAnsi="宋体"/>
          <w:kern w:val="0"/>
          <w:sz w:val="28"/>
          <w:szCs w:val="28"/>
          <w:lang w:val="en-US" w:eastAsia="zh-CN"/>
        </w:rPr>
        <w:t>1</w:t>
      </w:r>
      <w:r>
        <w:rPr>
          <w:rFonts w:hint="eastAsia" w:ascii="宋体" w:hAnsi="宋体"/>
          <w:kern w:val="0"/>
          <w:sz w:val="28"/>
          <w:szCs w:val="28"/>
        </w:rPr>
        <w:t>月</w:t>
      </w:r>
      <w:r>
        <w:rPr>
          <w:rFonts w:hint="eastAsia" w:ascii="宋体" w:hAnsi="宋体"/>
          <w:kern w:val="0"/>
          <w:sz w:val="28"/>
          <w:szCs w:val="28"/>
          <w:lang w:val="en-US" w:eastAsia="zh-CN"/>
        </w:rPr>
        <w:t>17</w:t>
      </w:r>
      <w:r>
        <w:rPr>
          <w:rFonts w:hint="eastAsia" w:ascii="宋体" w:hAnsi="宋体"/>
          <w:kern w:val="0"/>
          <w:sz w:val="28"/>
          <w:szCs w:val="28"/>
        </w:rPr>
        <w:t>日（星期</w:t>
      </w:r>
      <w:r>
        <w:rPr>
          <w:rFonts w:hint="eastAsia" w:ascii="宋体" w:hAnsi="宋体"/>
          <w:kern w:val="0"/>
          <w:sz w:val="28"/>
          <w:szCs w:val="28"/>
          <w:lang w:val="en-US" w:eastAsia="zh-CN"/>
        </w:rPr>
        <w:t>二</w:t>
      </w:r>
      <w:r>
        <w:rPr>
          <w:rFonts w:hint="eastAsia" w:ascii="宋体" w:hAnsi="宋体"/>
          <w:kern w:val="0"/>
          <w:sz w:val="28"/>
          <w:szCs w:val="28"/>
        </w:rPr>
        <w:t>）上午09:30分，厚德楼2</w:t>
      </w:r>
      <w:r>
        <w:rPr>
          <w:rFonts w:ascii="宋体" w:hAnsi="宋体"/>
          <w:kern w:val="0"/>
          <w:sz w:val="28"/>
          <w:szCs w:val="28"/>
        </w:rPr>
        <w:t>07</w:t>
      </w:r>
      <w:r>
        <w:rPr>
          <w:rFonts w:hint="eastAsia" w:ascii="宋体" w:hAnsi="宋体"/>
          <w:kern w:val="0"/>
          <w:sz w:val="28"/>
          <w:szCs w:val="28"/>
        </w:rPr>
        <w:t>会议室。</w:t>
      </w:r>
    </w:p>
    <w:p w14:paraId="6E721FB0">
      <w:pPr>
        <w:adjustRightInd w:val="0"/>
        <w:snapToGrid w:val="0"/>
        <w:spacing w:line="360" w:lineRule="auto"/>
        <w:ind w:firstLine="281" w:firstLineChars="100"/>
        <w:textAlignment w:val="baseline"/>
        <w:rPr>
          <w:rFonts w:ascii="宋体" w:hAnsi="宋体"/>
          <w:b/>
          <w:sz w:val="28"/>
          <w:szCs w:val="28"/>
        </w:rPr>
      </w:pPr>
      <w:r>
        <w:rPr>
          <w:rFonts w:hint="eastAsia" w:ascii="宋体" w:hAnsi="宋体"/>
          <w:b/>
          <w:sz w:val="28"/>
          <w:szCs w:val="28"/>
        </w:rPr>
        <w:t>二十</w:t>
      </w:r>
      <w:r>
        <w:rPr>
          <w:rFonts w:hint="eastAsia" w:ascii="宋体" w:hAnsi="宋体"/>
          <w:b/>
          <w:sz w:val="28"/>
          <w:szCs w:val="28"/>
          <w:lang w:val="en-US" w:eastAsia="zh-CN"/>
        </w:rPr>
        <w:t>一</w:t>
      </w:r>
      <w:r>
        <w:rPr>
          <w:rFonts w:hint="eastAsia" w:ascii="宋体" w:hAnsi="宋体"/>
          <w:b/>
          <w:sz w:val="28"/>
          <w:szCs w:val="28"/>
        </w:rPr>
        <w:t>、本询价文件未尽事宜的解释权属于广东财经大学佛山校区</w:t>
      </w:r>
      <w:r>
        <w:rPr>
          <w:rFonts w:hint="eastAsia" w:ascii="宋体" w:hAnsi="宋体"/>
          <w:b/>
          <w:sz w:val="28"/>
          <w:szCs w:val="28"/>
          <w:lang w:val="en-US" w:eastAsia="zh-CN"/>
        </w:rPr>
        <w:t>工作部</w:t>
      </w:r>
      <w:r>
        <w:rPr>
          <w:rFonts w:hint="eastAsia" w:ascii="宋体" w:hAnsi="宋体"/>
          <w:b/>
          <w:sz w:val="28"/>
          <w:szCs w:val="28"/>
        </w:rPr>
        <w:t>。</w:t>
      </w:r>
    </w:p>
    <w:p w14:paraId="379C724E">
      <w:pPr>
        <w:widowControl/>
        <w:spacing w:line="360" w:lineRule="auto"/>
        <w:jc w:val="center"/>
        <w:textAlignment w:val="baseline"/>
        <w:rPr>
          <w:rFonts w:ascii="宋体" w:hAnsi="宋体"/>
          <w:kern w:val="0"/>
          <w:sz w:val="28"/>
          <w:szCs w:val="28"/>
        </w:rPr>
      </w:pPr>
      <w:r>
        <w:rPr>
          <w:rFonts w:hint="eastAsia" w:ascii="宋体" w:hAnsi="宋体"/>
          <w:kern w:val="0"/>
          <w:sz w:val="28"/>
          <w:szCs w:val="28"/>
        </w:rPr>
        <w:t xml:space="preserve">                 </w:t>
      </w:r>
    </w:p>
    <w:p w14:paraId="6F92AACF">
      <w:pPr>
        <w:widowControl/>
        <w:spacing w:line="360" w:lineRule="auto"/>
        <w:jc w:val="right"/>
        <w:textAlignment w:val="baseline"/>
        <w:rPr>
          <w:rFonts w:ascii="宋体" w:hAnsi="宋体"/>
          <w:kern w:val="0"/>
          <w:sz w:val="28"/>
          <w:szCs w:val="28"/>
        </w:rPr>
      </w:pPr>
      <w:r>
        <w:rPr>
          <w:rFonts w:hint="eastAsia" w:ascii="宋体" w:hAnsi="宋体"/>
          <w:kern w:val="0"/>
          <w:sz w:val="28"/>
          <w:szCs w:val="28"/>
        </w:rPr>
        <w:t xml:space="preserve">                           广东财经大学佛山校区</w:t>
      </w:r>
      <w:r>
        <w:rPr>
          <w:rFonts w:hint="eastAsia" w:ascii="宋体" w:hAnsi="宋体"/>
          <w:kern w:val="0"/>
          <w:sz w:val="28"/>
          <w:szCs w:val="28"/>
          <w:lang w:val="en-US" w:eastAsia="zh-CN"/>
        </w:rPr>
        <w:t>工作部</w:t>
      </w:r>
      <w:r>
        <w:rPr>
          <w:rFonts w:hint="eastAsia" w:ascii="宋体" w:hAnsi="宋体"/>
          <w:kern w:val="0"/>
          <w:sz w:val="28"/>
          <w:szCs w:val="28"/>
        </w:rPr>
        <w:t xml:space="preserve">                               202</w:t>
      </w:r>
      <w:r>
        <w:rPr>
          <w:rFonts w:hint="eastAsia" w:ascii="宋体" w:hAnsi="宋体"/>
          <w:kern w:val="0"/>
          <w:sz w:val="28"/>
          <w:szCs w:val="28"/>
          <w:lang w:val="en-US" w:eastAsia="zh-CN"/>
        </w:rPr>
        <w:t>6</w:t>
      </w:r>
      <w:r>
        <w:rPr>
          <w:rFonts w:hint="eastAsia" w:ascii="宋体" w:hAnsi="宋体"/>
          <w:kern w:val="0"/>
          <w:sz w:val="28"/>
          <w:szCs w:val="28"/>
        </w:rPr>
        <w:t>年</w:t>
      </w:r>
      <w:r>
        <w:rPr>
          <w:rFonts w:hint="eastAsia" w:ascii="宋体" w:hAnsi="宋体"/>
          <w:kern w:val="0"/>
          <w:sz w:val="28"/>
          <w:szCs w:val="28"/>
          <w:lang w:val="en-US" w:eastAsia="zh-CN"/>
        </w:rPr>
        <w:t>11</w:t>
      </w:r>
      <w:r>
        <w:rPr>
          <w:rFonts w:hint="eastAsia" w:ascii="宋体" w:hAnsi="宋体"/>
          <w:kern w:val="0"/>
          <w:sz w:val="28"/>
          <w:szCs w:val="28"/>
        </w:rPr>
        <w:t>月</w:t>
      </w:r>
      <w:r>
        <w:rPr>
          <w:rFonts w:hint="eastAsia" w:ascii="宋体" w:hAnsi="宋体"/>
          <w:kern w:val="0"/>
          <w:sz w:val="28"/>
          <w:szCs w:val="28"/>
          <w:lang w:val="en-US" w:eastAsia="zh-CN"/>
        </w:rPr>
        <w:t>4</w:t>
      </w:r>
      <w:r>
        <w:rPr>
          <w:rFonts w:hint="eastAsia" w:ascii="宋体" w:hAnsi="宋体"/>
          <w:kern w:val="0"/>
          <w:sz w:val="28"/>
          <w:szCs w:val="28"/>
        </w:rPr>
        <w:t xml:space="preserve">日 </w:t>
      </w:r>
    </w:p>
    <w:p w14:paraId="64FBB7D0">
      <w:pPr>
        <w:rPr>
          <w:rFonts w:ascii="宋体" w:hAnsi="宋体"/>
          <w:sz w:val="28"/>
          <w:szCs w:val="28"/>
        </w:rPr>
      </w:pPr>
      <w:r>
        <w:rPr>
          <w:rFonts w:hint="eastAsia" w:ascii="宋体" w:hAnsi="宋体"/>
          <w:sz w:val="28"/>
          <w:szCs w:val="28"/>
        </w:rPr>
        <w:t xml:space="preserve"> </w:t>
      </w:r>
    </w:p>
    <w:p w14:paraId="6BE5DFB7">
      <w:pPr>
        <w:pStyle w:val="2"/>
      </w:pPr>
    </w:p>
    <w:p w14:paraId="33E0D713">
      <w:pPr>
        <w:pStyle w:val="2"/>
      </w:pPr>
    </w:p>
    <w:p w14:paraId="09927077">
      <w:pPr>
        <w:pStyle w:val="2"/>
      </w:pPr>
    </w:p>
    <w:p w14:paraId="73D53C16">
      <w:pPr>
        <w:pStyle w:val="2"/>
      </w:pPr>
    </w:p>
    <w:p w14:paraId="5C62D6C3">
      <w:pPr>
        <w:pStyle w:val="2"/>
      </w:pPr>
    </w:p>
    <w:p w14:paraId="46D144F5">
      <w:pPr>
        <w:pStyle w:val="2"/>
      </w:pPr>
    </w:p>
    <w:p w14:paraId="748F70A7">
      <w:pPr>
        <w:pStyle w:val="2"/>
      </w:pPr>
    </w:p>
    <w:p w14:paraId="6E6BDE32">
      <w:pPr>
        <w:pStyle w:val="2"/>
      </w:pPr>
    </w:p>
    <w:p w14:paraId="7027E7AE">
      <w:pPr>
        <w:pStyle w:val="2"/>
      </w:pPr>
    </w:p>
    <w:p w14:paraId="04E29270">
      <w:pPr>
        <w:pStyle w:val="2"/>
      </w:pPr>
    </w:p>
    <w:p w14:paraId="750EFECB">
      <w:pPr>
        <w:pStyle w:val="2"/>
      </w:pPr>
    </w:p>
    <w:p w14:paraId="21E541F8">
      <w:pPr>
        <w:pStyle w:val="2"/>
      </w:pPr>
    </w:p>
    <w:p w14:paraId="3B7C651C">
      <w:pPr>
        <w:pStyle w:val="2"/>
      </w:pPr>
    </w:p>
    <w:p w14:paraId="0800D968">
      <w:pPr>
        <w:pStyle w:val="2"/>
      </w:pPr>
    </w:p>
    <w:p w14:paraId="12348AB6">
      <w:pPr>
        <w:pStyle w:val="2"/>
      </w:pPr>
    </w:p>
    <w:p w14:paraId="0D687A5F">
      <w:pPr>
        <w:pStyle w:val="2"/>
      </w:pPr>
    </w:p>
    <w:p w14:paraId="2FDED25F">
      <w:pPr>
        <w:pStyle w:val="2"/>
      </w:pPr>
    </w:p>
    <w:p w14:paraId="033AC847">
      <w:pPr>
        <w:pStyle w:val="2"/>
      </w:pPr>
    </w:p>
    <w:p w14:paraId="113F0FCE">
      <w:pPr>
        <w:pStyle w:val="2"/>
      </w:pPr>
    </w:p>
    <w:p w14:paraId="45BF0D89">
      <w:pPr>
        <w:pStyle w:val="2"/>
      </w:pPr>
    </w:p>
    <w:p w14:paraId="56AB2FFA">
      <w:pPr>
        <w:pStyle w:val="2"/>
      </w:pPr>
      <w:r>
        <w:t xml:space="preserve"> </w:t>
      </w:r>
    </w:p>
    <w:p w14:paraId="72EBD530">
      <w:pPr>
        <w:widowControl/>
        <w:spacing w:line="360" w:lineRule="auto"/>
        <w:textAlignment w:val="baseline"/>
        <w:rPr>
          <w:rFonts w:ascii="仿宋" w:hAnsi="仿宋" w:eastAsia="仿宋" w:cs="Tahoma"/>
          <w:color w:val="000000"/>
          <w:kern w:val="0"/>
          <w:sz w:val="24"/>
          <w:szCs w:val="24"/>
        </w:rPr>
      </w:pPr>
    </w:p>
    <w:p w14:paraId="50162673">
      <w:pPr>
        <w:pStyle w:val="2"/>
      </w:pPr>
    </w:p>
    <w:p w14:paraId="37296567">
      <w:pPr>
        <w:pStyle w:val="2"/>
        <w:rPr>
          <w:rFonts w:ascii="仿宋" w:hAnsi="仿宋" w:eastAsia="仿宋" w:cs="Tahoma"/>
          <w:color w:val="000000"/>
          <w:kern w:val="0"/>
          <w:sz w:val="24"/>
          <w:szCs w:val="24"/>
        </w:rPr>
      </w:pPr>
    </w:p>
    <w:p w14:paraId="3F5C8C42">
      <w:pPr>
        <w:widowControl/>
        <w:spacing w:line="360" w:lineRule="auto"/>
        <w:textAlignment w:val="baseline"/>
        <w:rPr>
          <w:rFonts w:ascii="仿宋" w:hAnsi="仿宋" w:eastAsia="仿宋" w:cs="Tahoma"/>
          <w:b/>
          <w:color w:val="000000"/>
          <w:kern w:val="0"/>
          <w:sz w:val="24"/>
          <w:szCs w:val="24"/>
        </w:rPr>
      </w:pPr>
      <w:r>
        <w:rPr>
          <w:rFonts w:hint="eastAsia" w:ascii="仿宋" w:hAnsi="仿宋" w:eastAsia="仿宋" w:cs="Tahoma"/>
          <w:b/>
          <w:color w:val="000000"/>
          <w:kern w:val="0"/>
          <w:sz w:val="24"/>
          <w:szCs w:val="24"/>
        </w:rPr>
        <w:t>附件1</w:t>
      </w:r>
    </w:p>
    <w:p w14:paraId="280F21AE">
      <w:pPr>
        <w:widowControl/>
        <w:spacing w:line="425" w:lineRule="atLeast"/>
        <w:jc w:val="center"/>
        <w:textAlignment w:val="baseline"/>
        <w:rPr>
          <w:rFonts w:ascii="仿宋" w:hAnsi="仿宋" w:eastAsia="仿宋"/>
          <w:b/>
          <w:color w:val="000000"/>
          <w:kern w:val="0"/>
          <w:sz w:val="24"/>
          <w:szCs w:val="24"/>
        </w:rPr>
      </w:pPr>
      <w:r>
        <w:rPr>
          <w:rFonts w:hint="eastAsia" w:ascii="仿宋" w:hAnsi="仿宋" w:eastAsia="仿宋"/>
          <w:b/>
          <w:color w:val="000000"/>
          <w:kern w:val="0"/>
          <w:sz w:val="24"/>
          <w:szCs w:val="24"/>
        </w:rPr>
        <w:t>报价声明</w:t>
      </w:r>
    </w:p>
    <w:p w14:paraId="5C4B283B">
      <w:pPr>
        <w:widowControl/>
        <w:adjustRightInd w:val="0"/>
        <w:snapToGrid w:val="0"/>
        <w:spacing w:line="360" w:lineRule="auto"/>
        <w:ind w:right="78" w:rightChars="37"/>
        <w:textAlignment w:val="baseline"/>
        <w:rPr>
          <w:rFonts w:ascii="仿宋" w:hAnsi="仿宋" w:eastAsia="仿宋"/>
          <w:color w:val="000000"/>
          <w:kern w:val="0"/>
          <w:sz w:val="24"/>
          <w:szCs w:val="24"/>
        </w:rPr>
      </w:pPr>
      <w:r>
        <w:rPr>
          <w:rFonts w:hint="eastAsia" w:ascii="仿宋" w:hAnsi="仿宋" w:eastAsia="仿宋"/>
          <w:color w:val="000000"/>
          <w:kern w:val="0"/>
          <w:sz w:val="24"/>
          <w:szCs w:val="24"/>
        </w:rPr>
        <w:t>广东财经大学：</w:t>
      </w:r>
    </w:p>
    <w:p w14:paraId="501ADADD">
      <w:pPr>
        <w:widowControl/>
        <w:spacing w:line="440" w:lineRule="exact"/>
        <w:ind w:firstLine="528" w:firstLineChars="220"/>
        <w:textAlignment w:val="baseline"/>
        <w:rPr>
          <w:rFonts w:ascii="仿宋" w:hAnsi="仿宋" w:eastAsia="仿宋"/>
          <w:bCs/>
          <w:color w:val="000000"/>
          <w:kern w:val="0"/>
          <w:sz w:val="24"/>
          <w:szCs w:val="24"/>
        </w:rPr>
      </w:pPr>
      <w:r>
        <w:rPr>
          <w:rFonts w:hint="eastAsia" w:ascii="仿宋" w:hAnsi="仿宋" w:eastAsia="仿宋"/>
          <w:color w:val="000000"/>
          <w:kern w:val="0"/>
          <w:sz w:val="24"/>
          <w:szCs w:val="24"/>
        </w:rPr>
        <w:t>我方确认收到贵方提供的</w:t>
      </w:r>
      <w:r>
        <w:rPr>
          <w:rFonts w:hint="eastAsia" w:ascii="仿宋" w:hAnsi="仿宋" w:eastAsia="仿宋"/>
          <w:bCs/>
          <w:color w:val="000000"/>
          <w:kern w:val="0"/>
          <w:sz w:val="24"/>
          <w:szCs w:val="24"/>
          <w:u w:val="single"/>
        </w:rPr>
        <w:t>广东财经大学佛山校区202</w:t>
      </w:r>
      <w:r>
        <w:rPr>
          <w:rFonts w:hint="eastAsia" w:ascii="仿宋" w:hAnsi="仿宋" w:eastAsia="仿宋"/>
          <w:bCs/>
          <w:color w:val="000000"/>
          <w:kern w:val="0"/>
          <w:sz w:val="24"/>
          <w:szCs w:val="24"/>
          <w:u w:val="single"/>
          <w:lang w:val="en-US" w:eastAsia="zh-CN"/>
        </w:rPr>
        <w:t>7</w:t>
      </w:r>
      <w:r>
        <w:rPr>
          <w:rFonts w:hint="eastAsia" w:ascii="仿宋" w:hAnsi="仿宋" w:eastAsia="仿宋"/>
          <w:bCs/>
          <w:color w:val="000000"/>
          <w:kern w:val="0"/>
          <w:sz w:val="24"/>
          <w:szCs w:val="24"/>
          <w:u w:val="single"/>
        </w:rPr>
        <w:t>年小额工程造价咨询服务项目</w:t>
      </w:r>
      <w:r>
        <w:rPr>
          <w:rFonts w:hint="eastAsia" w:ascii="仿宋" w:hAnsi="仿宋" w:eastAsia="仿宋"/>
          <w:color w:val="000000"/>
          <w:kern w:val="0"/>
          <w:sz w:val="24"/>
          <w:szCs w:val="24"/>
        </w:rPr>
        <w:t>询价文件及相关附件的全部内容，我方：</w:t>
      </w:r>
      <w:r>
        <w:rPr>
          <w:rFonts w:hint="eastAsia" w:ascii="仿宋" w:hAnsi="仿宋" w:eastAsia="仿宋"/>
          <w:b/>
          <w:color w:val="000000"/>
          <w:kern w:val="0"/>
          <w:sz w:val="24"/>
          <w:szCs w:val="24"/>
          <w:u w:val="double"/>
        </w:rPr>
        <w:t xml:space="preserve">(报价人名称)                 </w:t>
      </w:r>
      <w:r>
        <w:rPr>
          <w:rFonts w:hint="eastAsia" w:ascii="仿宋" w:hAnsi="仿宋" w:eastAsia="仿宋"/>
          <w:color w:val="000000"/>
          <w:kern w:val="0"/>
          <w:sz w:val="24"/>
          <w:szCs w:val="24"/>
        </w:rPr>
        <w:t>作为报价供应商正式授权</w:t>
      </w:r>
      <w:r>
        <w:rPr>
          <w:rFonts w:hint="eastAsia" w:ascii="仿宋" w:hAnsi="仿宋" w:eastAsia="仿宋"/>
          <w:b/>
          <w:color w:val="000000"/>
          <w:kern w:val="0"/>
          <w:sz w:val="24"/>
          <w:szCs w:val="24"/>
          <w:u w:val="double"/>
        </w:rPr>
        <w:t xml:space="preserve"> (授权代表全名、职务、身份证号码)              </w:t>
      </w:r>
      <w:r>
        <w:rPr>
          <w:rFonts w:hint="eastAsia" w:ascii="仿宋" w:hAnsi="仿宋" w:eastAsia="仿宋"/>
          <w:color w:val="000000"/>
          <w:kern w:val="0"/>
          <w:sz w:val="24"/>
          <w:szCs w:val="24"/>
        </w:rPr>
        <w:t>代表我方进行有关本项目询价的一切事宜。</w:t>
      </w:r>
    </w:p>
    <w:p w14:paraId="37AFE6CA">
      <w:pPr>
        <w:widowControl/>
        <w:spacing w:line="440" w:lineRule="exact"/>
        <w:ind w:firstLine="410" w:firstLineChars="171"/>
        <w:textAlignment w:val="baseline"/>
        <w:rPr>
          <w:rFonts w:ascii="仿宋" w:hAnsi="仿宋" w:eastAsia="仿宋"/>
          <w:color w:val="000000"/>
          <w:kern w:val="0"/>
          <w:sz w:val="24"/>
          <w:szCs w:val="24"/>
        </w:rPr>
      </w:pPr>
      <w:r>
        <w:rPr>
          <w:rFonts w:hint="eastAsia" w:ascii="仿宋" w:hAnsi="仿宋" w:eastAsia="仿宋"/>
          <w:color w:val="000000"/>
          <w:kern w:val="0"/>
          <w:sz w:val="24"/>
          <w:szCs w:val="24"/>
        </w:rPr>
        <w:t>在此提交的报价文件正本</w:t>
      </w:r>
      <w:r>
        <w:rPr>
          <w:rFonts w:hint="eastAsia" w:ascii="仿宋" w:hAnsi="仿宋" w:eastAsia="仿宋"/>
          <w:b/>
          <w:color w:val="000000"/>
          <w:kern w:val="0"/>
          <w:sz w:val="24"/>
          <w:szCs w:val="24"/>
          <w:u w:val="double"/>
        </w:rPr>
        <w:t xml:space="preserve"> 1 </w:t>
      </w:r>
      <w:r>
        <w:rPr>
          <w:rFonts w:hint="eastAsia" w:ascii="仿宋" w:hAnsi="仿宋" w:eastAsia="仿宋"/>
          <w:color w:val="000000"/>
          <w:kern w:val="0"/>
          <w:sz w:val="24"/>
          <w:szCs w:val="24"/>
        </w:rPr>
        <w:t xml:space="preserve">套，副本 </w:t>
      </w:r>
      <w:r>
        <w:rPr>
          <w:rFonts w:hint="eastAsia" w:ascii="仿宋" w:hAnsi="仿宋" w:eastAsia="仿宋"/>
          <w:b/>
          <w:color w:val="000000"/>
          <w:kern w:val="0"/>
          <w:sz w:val="24"/>
          <w:szCs w:val="24"/>
          <w:u w:val="double"/>
        </w:rPr>
        <w:t xml:space="preserve">1 </w:t>
      </w:r>
      <w:r>
        <w:rPr>
          <w:rFonts w:hint="eastAsia" w:ascii="仿宋" w:hAnsi="仿宋" w:eastAsia="仿宋"/>
          <w:color w:val="000000"/>
          <w:kern w:val="0"/>
          <w:sz w:val="24"/>
          <w:szCs w:val="24"/>
        </w:rPr>
        <w:t>套，电子稿</w:t>
      </w:r>
      <w:r>
        <w:rPr>
          <w:rFonts w:hint="eastAsia" w:ascii="仿宋" w:hAnsi="仿宋" w:eastAsia="仿宋"/>
          <w:b/>
          <w:color w:val="000000"/>
          <w:kern w:val="0"/>
          <w:sz w:val="24"/>
          <w:szCs w:val="24"/>
          <w:u w:val="double"/>
        </w:rPr>
        <w:t>1</w:t>
      </w:r>
      <w:r>
        <w:rPr>
          <w:rFonts w:hint="eastAsia" w:ascii="仿宋" w:hAnsi="仿宋" w:eastAsia="仿宋"/>
          <w:color w:val="000000"/>
          <w:kern w:val="0"/>
          <w:sz w:val="24"/>
          <w:szCs w:val="24"/>
        </w:rPr>
        <w:t>套，</w:t>
      </w:r>
      <w:r>
        <w:rPr>
          <w:rFonts w:hint="eastAsia" w:ascii="仿宋" w:hAnsi="仿宋" w:eastAsia="仿宋"/>
          <w:b/>
          <w:color w:val="000000"/>
          <w:kern w:val="0"/>
          <w:sz w:val="24"/>
          <w:szCs w:val="24"/>
        </w:rPr>
        <w:t>报价文件包括如下内容：</w:t>
      </w:r>
    </w:p>
    <w:p w14:paraId="05BD816C">
      <w:pPr>
        <w:widowControl/>
        <w:numPr>
          <w:ilvl w:val="0"/>
          <w:numId w:val="1"/>
        </w:numPr>
        <w:spacing w:line="360" w:lineRule="auto"/>
        <w:textAlignment w:val="baseline"/>
        <w:rPr>
          <w:rFonts w:ascii="仿宋" w:hAnsi="仿宋" w:eastAsia="仿宋"/>
          <w:b/>
          <w:color w:val="000000"/>
          <w:kern w:val="0"/>
          <w:sz w:val="24"/>
          <w:szCs w:val="24"/>
        </w:rPr>
      </w:pPr>
      <w:r>
        <w:rPr>
          <w:rFonts w:hint="eastAsia" w:ascii="仿宋" w:hAnsi="仿宋" w:eastAsia="仿宋"/>
          <w:b/>
          <w:color w:val="000000"/>
          <w:kern w:val="0"/>
          <w:sz w:val="24"/>
          <w:szCs w:val="24"/>
        </w:rPr>
        <w:t>本报价声明。</w:t>
      </w:r>
    </w:p>
    <w:p w14:paraId="3CAB2DB1">
      <w:pPr>
        <w:widowControl/>
        <w:numPr>
          <w:ilvl w:val="0"/>
          <w:numId w:val="1"/>
        </w:numPr>
        <w:spacing w:line="360" w:lineRule="auto"/>
        <w:textAlignment w:val="baseline"/>
        <w:rPr>
          <w:rFonts w:ascii="仿宋" w:hAnsi="仿宋" w:eastAsia="仿宋"/>
          <w:b/>
          <w:color w:val="000000"/>
          <w:kern w:val="0"/>
          <w:sz w:val="24"/>
          <w:szCs w:val="24"/>
        </w:rPr>
      </w:pPr>
      <w:r>
        <w:rPr>
          <w:rFonts w:hint="eastAsia" w:ascii="仿宋" w:hAnsi="仿宋" w:eastAsia="仿宋"/>
          <w:b/>
          <w:color w:val="000000"/>
          <w:kern w:val="0"/>
          <w:sz w:val="24"/>
          <w:szCs w:val="24"/>
        </w:rPr>
        <w:t>报价一览表（附件2）。</w:t>
      </w:r>
    </w:p>
    <w:p w14:paraId="5A9200D6">
      <w:pPr>
        <w:widowControl/>
        <w:numPr>
          <w:ilvl w:val="0"/>
          <w:numId w:val="1"/>
        </w:numPr>
        <w:spacing w:line="360" w:lineRule="auto"/>
        <w:textAlignment w:val="baseline"/>
        <w:rPr>
          <w:rFonts w:ascii="仿宋" w:hAnsi="仿宋" w:eastAsia="仿宋"/>
          <w:b/>
          <w:color w:val="000000"/>
          <w:kern w:val="0"/>
          <w:sz w:val="24"/>
          <w:szCs w:val="24"/>
        </w:rPr>
      </w:pPr>
      <w:r>
        <w:rPr>
          <w:rFonts w:hint="eastAsia" w:ascii="仿宋" w:hAnsi="仿宋" w:eastAsia="仿宋"/>
          <w:b/>
          <w:color w:val="000000"/>
          <w:kern w:val="0"/>
          <w:sz w:val="24"/>
          <w:szCs w:val="24"/>
        </w:rPr>
        <w:t>非联合体投标承诺书（见附件3）。</w:t>
      </w:r>
    </w:p>
    <w:p w14:paraId="77DE8B2A">
      <w:pPr>
        <w:widowControl/>
        <w:numPr>
          <w:ilvl w:val="0"/>
          <w:numId w:val="1"/>
        </w:numPr>
        <w:spacing w:line="360" w:lineRule="auto"/>
        <w:textAlignment w:val="baseline"/>
        <w:rPr>
          <w:rFonts w:ascii="仿宋" w:hAnsi="仿宋" w:eastAsia="仿宋"/>
          <w:b/>
          <w:color w:val="000000"/>
          <w:kern w:val="0"/>
          <w:sz w:val="24"/>
          <w:szCs w:val="24"/>
        </w:rPr>
      </w:pPr>
      <w:r>
        <w:rPr>
          <w:rFonts w:hint="eastAsia" w:ascii="仿宋" w:hAnsi="仿宋" w:eastAsia="仿宋"/>
          <w:b/>
          <w:color w:val="000000"/>
          <w:kern w:val="0"/>
          <w:sz w:val="24"/>
          <w:szCs w:val="24"/>
        </w:rPr>
        <w:t>企业法人《营业执照》副本或事业单位法人证书或法人登记证书复印件。</w:t>
      </w:r>
    </w:p>
    <w:p w14:paraId="57C548CE">
      <w:pPr>
        <w:widowControl/>
        <w:numPr>
          <w:ilvl w:val="0"/>
          <w:numId w:val="1"/>
        </w:numPr>
        <w:spacing w:line="360" w:lineRule="auto"/>
        <w:textAlignment w:val="baseline"/>
        <w:rPr>
          <w:rFonts w:ascii="仿宋" w:hAnsi="仿宋" w:eastAsia="仿宋"/>
          <w:b/>
          <w:color w:val="000000"/>
          <w:kern w:val="0"/>
          <w:sz w:val="24"/>
          <w:szCs w:val="24"/>
        </w:rPr>
      </w:pPr>
      <w:r>
        <w:rPr>
          <w:rFonts w:hint="eastAsia" w:ascii="仿宋" w:hAnsi="仿宋" w:eastAsia="仿宋"/>
          <w:b/>
          <w:color w:val="000000"/>
          <w:kern w:val="0"/>
          <w:sz w:val="24"/>
          <w:szCs w:val="24"/>
        </w:rPr>
        <w:t>法定代表人证明书、授权委托书（附件4、附件5）。</w:t>
      </w:r>
    </w:p>
    <w:p w14:paraId="74A36A22">
      <w:pPr>
        <w:widowControl/>
        <w:numPr>
          <w:ilvl w:val="0"/>
          <w:numId w:val="1"/>
        </w:numPr>
        <w:spacing w:line="360" w:lineRule="auto"/>
        <w:textAlignment w:val="baseline"/>
        <w:rPr>
          <w:rFonts w:ascii="仿宋" w:hAnsi="仿宋" w:eastAsia="仿宋"/>
          <w:b/>
          <w:color w:val="000000"/>
          <w:kern w:val="0"/>
          <w:sz w:val="24"/>
          <w:szCs w:val="24"/>
        </w:rPr>
      </w:pPr>
      <w:r>
        <w:rPr>
          <w:rFonts w:hint="eastAsia" w:ascii="仿宋" w:hAnsi="仿宋" w:eastAsia="仿宋"/>
          <w:b/>
          <w:color w:val="000000"/>
          <w:kern w:val="0"/>
          <w:sz w:val="24"/>
          <w:szCs w:val="24"/>
        </w:rPr>
        <w:t>承接本项目具有</w:t>
      </w:r>
      <w:r>
        <w:rPr>
          <w:rFonts w:hint="eastAsia" w:ascii="仿宋" w:hAnsi="仿宋" w:eastAsia="仿宋"/>
          <w:b/>
          <w:bCs/>
          <w:color w:val="000000"/>
          <w:kern w:val="0"/>
          <w:sz w:val="24"/>
          <w:szCs w:val="24"/>
        </w:rPr>
        <w:t>建设行政主管部门颁发的工程造价咨询乙级或以上资质</w:t>
      </w:r>
      <w:r>
        <w:rPr>
          <w:rFonts w:hint="eastAsia" w:ascii="仿宋" w:hAnsi="仿宋" w:eastAsia="仿宋"/>
          <w:b/>
          <w:color w:val="000000"/>
          <w:kern w:val="0"/>
          <w:sz w:val="24"/>
          <w:szCs w:val="24"/>
        </w:rPr>
        <w:t>。</w:t>
      </w:r>
    </w:p>
    <w:p w14:paraId="34302100">
      <w:pPr>
        <w:widowControl/>
        <w:numPr>
          <w:ilvl w:val="0"/>
          <w:numId w:val="1"/>
        </w:numPr>
        <w:spacing w:line="360" w:lineRule="auto"/>
        <w:textAlignment w:val="baseline"/>
        <w:rPr>
          <w:rFonts w:ascii="仿宋" w:hAnsi="仿宋" w:eastAsia="仿宋"/>
          <w:b/>
          <w:color w:val="000000"/>
          <w:kern w:val="0"/>
          <w:sz w:val="24"/>
          <w:szCs w:val="24"/>
        </w:rPr>
      </w:pPr>
      <w:r>
        <w:rPr>
          <w:rFonts w:hint="eastAsia" w:ascii="仿宋" w:hAnsi="仿宋" w:eastAsia="仿宋"/>
          <w:b/>
          <w:color w:val="000000"/>
          <w:kern w:val="0"/>
          <w:sz w:val="24"/>
          <w:szCs w:val="24"/>
        </w:rPr>
        <w:t>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提供查询的页面截图）。</w:t>
      </w:r>
    </w:p>
    <w:p w14:paraId="0357CB15">
      <w:pPr>
        <w:widowControl/>
        <w:numPr>
          <w:ilvl w:val="0"/>
          <w:numId w:val="1"/>
        </w:numPr>
        <w:spacing w:line="360" w:lineRule="auto"/>
        <w:textAlignment w:val="baseline"/>
        <w:rPr>
          <w:rFonts w:ascii="仿宋" w:hAnsi="仿宋" w:eastAsia="仿宋"/>
          <w:b/>
          <w:color w:val="000000"/>
          <w:kern w:val="0"/>
          <w:sz w:val="24"/>
          <w:szCs w:val="24"/>
        </w:rPr>
      </w:pPr>
      <w:r>
        <w:rPr>
          <w:rFonts w:hint="eastAsia" w:ascii="仿宋" w:hAnsi="仿宋" w:eastAsia="仿宋"/>
          <w:b/>
          <w:color w:val="000000"/>
          <w:kern w:val="0"/>
          <w:sz w:val="24"/>
          <w:szCs w:val="24"/>
        </w:rPr>
        <w:t>提交具有独立承担民事责任能力，且具备履行合同所必需的设备和专业技术能力（提供说明材料或承诺书）。</w:t>
      </w:r>
    </w:p>
    <w:p w14:paraId="6A6D7642">
      <w:pPr>
        <w:widowControl/>
        <w:numPr>
          <w:ilvl w:val="0"/>
          <w:numId w:val="1"/>
        </w:numPr>
        <w:spacing w:line="360" w:lineRule="auto"/>
        <w:textAlignment w:val="baseline"/>
        <w:rPr>
          <w:rFonts w:ascii="仿宋" w:hAnsi="仿宋" w:eastAsia="仿宋"/>
          <w:b/>
          <w:color w:val="000000"/>
          <w:kern w:val="0"/>
          <w:sz w:val="24"/>
          <w:szCs w:val="24"/>
        </w:rPr>
      </w:pPr>
      <w:r>
        <w:rPr>
          <w:rFonts w:hint="eastAsia" w:ascii="仿宋" w:hAnsi="仿宋" w:eastAsia="仿宋"/>
          <w:b/>
          <w:color w:val="000000"/>
          <w:kern w:val="0"/>
          <w:sz w:val="24"/>
          <w:szCs w:val="24"/>
        </w:rPr>
        <w:t>提交本项目要求的其他技术（或服务）响应文件。</w:t>
      </w:r>
    </w:p>
    <w:p w14:paraId="27D1B52E">
      <w:pPr>
        <w:widowControl/>
        <w:adjustRightInd w:val="0"/>
        <w:snapToGrid w:val="0"/>
        <w:spacing w:line="360" w:lineRule="auto"/>
        <w:ind w:right="78" w:rightChars="37" w:firstLine="482" w:firstLineChars="200"/>
        <w:textAlignment w:val="baseline"/>
        <w:rPr>
          <w:rFonts w:ascii="仿宋" w:hAnsi="仿宋" w:eastAsia="仿宋" w:cs="Tahoma"/>
          <w:b/>
          <w:color w:val="000000"/>
          <w:kern w:val="0"/>
          <w:sz w:val="24"/>
          <w:szCs w:val="24"/>
        </w:rPr>
      </w:pPr>
      <w:r>
        <w:rPr>
          <w:rFonts w:hint="eastAsia" w:ascii="仿宋" w:hAnsi="仿宋" w:eastAsia="仿宋" w:cs="Tahoma"/>
          <w:b/>
          <w:color w:val="000000"/>
          <w:kern w:val="0"/>
          <w:sz w:val="24"/>
          <w:szCs w:val="24"/>
        </w:rPr>
        <w:t>我方已完全明白询价文件的所有条款要求，并重申以下几点：</w:t>
      </w:r>
    </w:p>
    <w:p w14:paraId="4A4B5688">
      <w:pPr>
        <w:widowControl/>
        <w:numPr>
          <w:ilvl w:val="0"/>
          <w:numId w:val="2"/>
        </w:numPr>
        <w:spacing w:line="440" w:lineRule="exact"/>
        <w:textAlignment w:val="baseline"/>
        <w:rPr>
          <w:rFonts w:ascii="仿宋" w:hAnsi="仿宋" w:eastAsia="仿宋"/>
          <w:color w:val="000000"/>
          <w:kern w:val="0"/>
          <w:sz w:val="24"/>
          <w:szCs w:val="24"/>
        </w:rPr>
      </w:pPr>
      <w:r>
        <w:rPr>
          <w:rFonts w:hint="eastAsia" w:ascii="仿宋" w:hAnsi="仿宋" w:eastAsia="仿宋"/>
          <w:color w:val="000000"/>
          <w:kern w:val="0"/>
          <w:sz w:val="24"/>
          <w:szCs w:val="24"/>
        </w:rPr>
        <w:t>我方严格遵守贵校采购有关规定。</w:t>
      </w:r>
    </w:p>
    <w:p w14:paraId="230C1990">
      <w:pPr>
        <w:widowControl/>
        <w:numPr>
          <w:ilvl w:val="0"/>
          <w:numId w:val="2"/>
        </w:numPr>
        <w:spacing w:line="440" w:lineRule="exact"/>
        <w:textAlignment w:val="baseline"/>
        <w:rPr>
          <w:rFonts w:ascii="仿宋" w:hAnsi="仿宋" w:eastAsia="仿宋"/>
          <w:color w:val="000000"/>
          <w:kern w:val="0"/>
          <w:sz w:val="24"/>
          <w:szCs w:val="24"/>
        </w:rPr>
      </w:pPr>
      <w:r>
        <w:rPr>
          <w:rFonts w:hint="eastAsia" w:ascii="仿宋" w:hAnsi="仿宋" w:eastAsia="仿宋"/>
          <w:color w:val="000000"/>
          <w:kern w:val="0"/>
          <w:sz w:val="24"/>
          <w:szCs w:val="24"/>
        </w:rPr>
        <w:t>我方具备履行合同所必需的设备和专业技术能力。</w:t>
      </w:r>
    </w:p>
    <w:p w14:paraId="62612548">
      <w:pPr>
        <w:widowControl/>
        <w:numPr>
          <w:ilvl w:val="0"/>
          <w:numId w:val="2"/>
        </w:numPr>
        <w:spacing w:line="440" w:lineRule="exact"/>
        <w:textAlignment w:val="baseline"/>
        <w:rPr>
          <w:rFonts w:ascii="仿宋" w:hAnsi="仿宋" w:eastAsia="仿宋"/>
          <w:color w:val="000000"/>
          <w:kern w:val="0"/>
          <w:sz w:val="24"/>
          <w:szCs w:val="24"/>
        </w:rPr>
      </w:pPr>
      <w:r>
        <w:rPr>
          <w:rFonts w:hint="eastAsia" w:ascii="仿宋" w:hAnsi="仿宋" w:eastAsia="仿宋"/>
          <w:color w:val="000000"/>
          <w:kern w:val="0"/>
          <w:sz w:val="24"/>
          <w:szCs w:val="24"/>
        </w:rPr>
        <w:t>我方已认真阅读询价文件及相关附件的全部内容，对本次询价作出实质性响应。</w:t>
      </w:r>
    </w:p>
    <w:p w14:paraId="0DE0DD98">
      <w:pPr>
        <w:widowControl/>
        <w:numPr>
          <w:ilvl w:val="0"/>
          <w:numId w:val="2"/>
        </w:numPr>
        <w:spacing w:line="440" w:lineRule="exact"/>
        <w:textAlignment w:val="baseline"/>
        <w:rPr>
          <w:rFonts w:ascii="仿宋" w:hAnsi="仿宋" w:eastAsia="仿宋"/>
          <w:color w:val="000000"/>
          <w:kern w:val="0"/>
          <w:sz w:val="24"/>
          <w:szCs w:val="24"/>
        </w:rPr>
      </w:pPr>
      <w:r>
        <w:rPr>
          <w:rFonts w:hint="eastAsia" w:ascii="仿宋" w:hAnsi="仿宋" w:eastAsia="仿宋"/>
          <w:color w:val="000000"/>
          <w:kern w:val="0"/>
          <w:sz w:val="24"/>
          <w:szCs w:val="24"/>
        </w:rPr>
        <w:t>我方明白，如最终被确定为成交供应商，必须积极配合贵校、按照贵校采购制度规定的程序签订合同、履行约定。如我方不按贵校采购制度的规定签订合同，贵校有权将成交资格授予其他供应商。如我方有违约行为，贵校有权单方面解除合同并相应追究我方经济和法律责任。</w:t>
      </w:r>
    </w:p>
    <w:p w14:paraId="6497D500">
      <w:pPr>
        <w:widowControl/>
        <w:numPr>
          <w:ilvl w:val="0"/>
          <w:numId w:val="2"/>
        </w:numPr>
        <w:spacing w:line="440" w:lineRule="exact"/>
        <w:textAlignment w:val="baseline"/>
        <w:rPr>
          <w:rFonts w:ascii="仿宋" w:hAnsi="仿宋" w:eastAsia="仿宋"/>
          <w:color w:val="000000"/>
          <w:kern w:val="0"/>
          <w:sz w:val="24"/>
          <w:szCs w:val="24"/>
        </w:rPr>
      </w:pPr>
      <w:r>
        <w:rPr>
          <w:rFonts w:hint="eastAsia" w:ascii="仿宋" w:hAnsi="仿宋" w:eastAsia="仿宋"/>
          <w:color w:val="000000"/>
          <w:kern w:val="0"/>
          <w:sz w:val="24"/>
          <w:szCs w:val="24"/>
        </w:rPr>
        <w:t>我方同意按照贵校的要求提供与报价有关的其它任何数据、信息或资料，并对其真实性和合法性负责。</w:t>
      </w:r>
    </w:p>
    <w:p w14:paraId="52481A60">
      <w:pPr>
        <w:widowControl/>
        <w:numPr>
          <w:ilvl w:val="0"/>
          <w:numId w:val="2"/>
        </w:numPr>
        <w:spacing w:line="440" w:lineRule="exact"/>
        <w:textAlignment w:val="baseline"/>
        <w:rPr>
          <w:rFonts w:ascii="仿宋" w:hAnsi="仿宋" w:eastAsia="仿宋"/>
          <w:color w:val="000000"/>
          <w:kern w:val="0"/>
          <w:sz w:val="24"/>
          <w:szCs w:val="24"/>
        </w:rPr>
      </w:pPr>
      <w:r>
        <w:rPr>
          <w:rFonts w:hint="eastAsia" w:ascii="仿宋" w:hAnsi="仿宋" w:eastAsia="仿宋"/>
          <w:color w:val="000000"/>
          <w:kern w:val="0"/>
          <w:sz w:val="24"/>
          <w:szCs w:val="24"/>
        </w:rPr>
        <w:t>我方报价已包含应向知识产权所有权人支付的所有相关税费，保证所供货物、服务来源合法有效，保证采购人在中国使用我方提供的货物、服务时，如有第三方提出侵犯其知识产权或其他主张的，由我方承担因此产生的法律责任和经济责任。</w:t>
      </w:r>
    </w:p>
    <w:p w14:paraId="178DFE83">
      <w:pPr>
        <w:widowControl/>
        <w:numPr>
          <w:ilvl w:val="0"/>
          <w:numId w:val="2"/>
        </w:numPr>
        <w:spacing w:line="440" w:lineRule="exact"/>
        <w:textAlignment w:val="baseline"/>
        <w:rPr>
          <w:rFonts w:ascii="仿宋" w:hAnsi="仿宋" w:eastAsia="仿宋"/>
          <w:color w:val="000000"/>
          <w:kern w:val="0"/>
          <w:sz w:val="24"/>
          <w:szCs w:val="24"/>
        </w:rPr>
      </w:pPr>
      <w:r>
        <w:rPr>
          <w:rFonts w:hint="eastAsia" w:ascii="仿宋" w:hAnsi="仿宋" w:eastAsia="仿宋"/>
          <w:color w:val="000000"/>
          <w:kern w:val="0"/>
          <w:sz w:val="24"/>
          <w:szCs w:val="24"/>
        </w:rPr>
        <w:t>近三年，我方在经营销售活动中没有违法行为，在招标投标、政府采购领域中没有违规和违约行为。</w:t>
      </w:r>
    </w:p>
    <w:p w14:paraId="11B80291">
      <w:pPr>
        <w:widowControl/>
        <w:adjustRightInd w:val="0"/>
        <w:snapToGrid w:val="0"/>
        <w:spacing w:line="348" w:lineRule="auto"/>
        <w:jc w:val="center"/>
        <w:textAlignment w:val="baseline"/>
        <w:rPr>
          <w:rFonts w:ascii="仿宋" w:hAnsi="仿宋" w:eastAsia="仿宋" w:cs="Tahoma"/>
          <w:color w:val="000000"/>
          <w:kern w:val="0"/>
          <w:sz w:val="24"/>
          <w:szCs w:val="24"/>
        </w:rPr>
      </w:pPr>
      <w:r>
        <w:rPr>
          <w:rFonts w:hint="eastAsia" w:ascii="仿宋" w:hAnsi="仿宋" w:eastAsia="仿宋" w:cs="Tahoma"/>
          <w:color w:val="000000"/>
          <w:kern w:val="0"/>
          <w:sz w:val="24"/>
          <w:szCs w:val="24"/>
        </w:rPr>
        <w:t xml:space="preserve"> </w:t>
      </w:r>
    </w:p>
    <w:p w14:paraId="7BFD42CB">
      <w:pPr>
        <w:widowControl/>
        <w:adjustRightInd w:val="0"/>
        <w:snapToGrid w:val="0"/>
        <w:spacing w:line="348" w:lineRule="auto"/>
        <w:ind w:firstLine="5160" w:firstLineChars="2150"/>
        <w:textAlignment w:val="baseline"/>
        <w:rPr>
          <w:rFonts w:ascii="仿宋" w:hAnsi="仿宋" w:eastAsia="仿宋" w:cs="Tahoma"/>
          <w:color w:val="000000"/>
          <w:kern w:val="0"/>
          <w:sz w:val="24"/>
          <w:szCs w:val="24"/>
        </w:rPr>
      </w:pPr>
      <w:r>
        <w:rPr>
          <w:rFonts w:hint="eastAsia" w:ascii="仿宋" w:hAnsi="仿宋" w:eastAsia="仿宋" w:cs="Tahoma"/>
          <w:color w:val="000000"/>
          <w:kern w:val="0"/>
          <w:sz w:val="24"/>
          <w:szCs w:val="24"/>
        </w:rPr>
        <w:t xml:space="preserve">报价供应商（公章）：   </w:t>
      </w:r>
    </w:p>
    <w:p w14:paraId="1F32749F">
      <w:pPr>
        <w:widowControl/>
        <w:adjustRightInd w:val="0"/>
        <w:snapToGrid w:val="0"/>
        <w:spacing w:line="348" w:lineRule="auto"/>
        <w:ind w:firstLine="5160" w:firstLineChars="2150"/>
        <w:textAlignment w:val="baseline"/>
        <w:rPr>
          <w:rFonts w:ascii="仿宋" w:hAnsi="仿宋" w:eastAsia="仿宋" w:cs="Tahoma"/>
          <w:color w:val="000000"/>
          <w:kern w:val="0"/>
          <w:sz w:val="24"/>
          <w:szCs w:val="24"/>
        </w:rPr>
      </w:pPr>
      <w:r>
        <w:rPr>
          <w:rFonts w:hint="eastAsia" w:ascii="仿宋" w:hAnsi="仿宋" w:eastAsia="仿宋" w:cs="Tahoma"/>
          <w:color w:val="000000"/>
          <w:kern w:val="0"/>
          <w:sz w:val="24"/>
          <w:szCs w:val="24"/>
        </w:rPr>
        <w:t>日期：202</w:t>
      </w:r>
      <w:r>
        <w:rPr>
          <w:rFonts w:hint="eastAsia" w:ascii="仿宋" w:hAnsi="仿宋" w:eastAsia="仿宋" w:cs="Tahoma"/>
          <w:color w:val="000000"/>
          <w:kern w:val="0"/>
          <w:sz w:val="24"/>
          <w:szCs w:val="24"/>
          <w:lang w:val="en-US" w:eastAsia="zh-CN"/>
        </w:rPr>
        <w:t>6</w:t>
      </w:r>
      <w:r>
        <w:rPr>
          <w:rFonts w:hint="eastAsia" w:ascii="仿宋" w:hAnsi="仿宋" w:eastAsia="仿宋" w:cs="Tahoma"/>
          <w:color w:val="000000"/>
          <w:kern w:val="0"/>
          <w:sz w:val="24"/>
          <w:szCs w:val="24"/>
        </w:rPr>
        <w:t>年  月  日</w:t>
      </w:r>
    </w:p>
    <w:p w14:paraId="5019412E">
      <w:pPr>
        <w:widowControl/>
        <w:spacing w:line="425" w:lineRule="atLeast"/>
        <w:textAlignment w:val="baseline"/>
        <w:rPr>
          <w:rFonts w:ascii="仿宋" w:hAnsi="仿宋" w:eastAsia="仿宋" w:cs="Tahoma"/>
          <w:color w:val="000000"/>
          <w:kern w:val="0"/>
          <w:sz w:val="24"/>
          <w:szCs w:val="24"/>
        </w:rPr>
      </w:pPr>
      <w:r>
        <w:rPr>
          <w:rFonts w:hint="eastAsia" w:ascii="仿宋" w:hAnsi="仿宋" w:eastAsia="仿宋"/>
          <w:b/>
          <w:color w:val="000000"/>
          <w:kern w:val="0"/>
          <w:sz w:val="24"/>
          <w:szCs w:val="24"/>
        </w:rPr>
        <w:t>（注：本报价声明为必要文件，必须加盖报价供应商公章，否则，作无效报价处理）</w:t>
      </w:r>
    </w:p>
    <w:p w14:paraId="0A0EF014">
      <w:pPr>
        <w:widowControl/>
        <w:spacing w:line="425" w:lineRule="atLeast"/>
        <w:textAlignment w:val="baseline"/>
        <w:rPr>
          <w:rFonts w:ascii="仿宋" w:hAnsi="仿宋" w:eastAsia="仿宋" w:cs="Tahoma"/>
          <w:color w:val="000000"/>
          <w:kern w:val="0"/>
          <w:sz w:val="24"/>
          <w:szCs w:val="24"/>
        </w:rPr>
      </w:pPr>
      <w:r>
        <w:rPr>
          <w:rFonts w:hint="eastAsia" w:ascii="仿宋" w:hAnsi="仿宋" w:eastAsia="仿宋" w:cs="Tahoma"/>
          <w:color w:val="000000"/>
          <w:kern w:val="0"/>
          <w:sz w:val="24"/>
          <w:szCs w:val="24"/>
        </w:rPr>
        <w:br w:type="page"/>
      </w:r>
    </w:p>
    <w:p w14:paraId="2499143B">
      <w:pPr>
        <w:widowControl/>
        <w:adjustRightInd w:val="0"/>
        <w:snapToGrid w:val="0"/>
        <w:spacing w:line="348" w:lineRule="auto"/>
        <w:textAlignment w:val="baseline"/>
        <w:rPr>
          <w:rFonts w:ascii="仿宋" w:hAnsi="仿宋" w:eastAsia="仿宋" w:cs="宋体"/>
          <w:b/>
          <w:color w:val="000000"/>
          <w:kern w:val="0"/>
          <w:sz w:val="28"/>
          <w:szCs w:val="28"/>
        </w:rPr>
      </w:pPr>
      <w:r>
        <w:rPr>
          <w:rFonts w:hint="eastAsia" w:ascii="仿宋" w:hAnsi="仿宋" w:eastAsia="仿宋" w:cs="宋体"/>
          <w:b/>
          <w:color w:val="000000"/>
          <w:kern w:val="0"/>
          <w:sz w:val="24"/>
          <w:szCs w:val="24"/>
        </w:rPr>
        <w:t>附件2</w:t>
      </w:r>
      <w:r>
        <w:rPr>
          <w:rFonts w:hint="eastAsia" w:ascii="仿宋" w:hAnsi="仿宋" w:eastAsia="仿宋" w:cs="宋体"/>
          <w:b/>
          <w:color w:val="000000"/>
          <w:kern w:val="0"/>
          <w:sz w:val="28"/>
          <w:szCs w:val="28"/>
        </w:rPr>
        <w:t xml:space="preserve">  </w:t>
      </w:r>
    </w:p>
    <w:p w14:paraId="768EF826">
      <w:pPr>
        <w:widowControl/>
        <w:adjustRightInd w:val="0"/>
        <w:snapToGrid w:val="0"/>
        <w:spacing w:line="348" w:lineRule="auto"/>
        <w:textAlignment w:val="baseline"/>
        <w:rPr>
          <w:rFonts w:ascii="宋体" w:hAnsi="宋体" w:cs="Tahoma"/>
          <w:color w:val="000000"/>
          <w:kern w:val="0"/>
          <w:sz w:val="24"/>
          <w:szCs w:val="24"/>
        </w:rPr>
      </w:pPr>
      <w:r>
        <w:rPr>
          <w:rFonts w:hint="eastAsia" w:ascii="仿宋" w:hAnsi="仿宋" w:eastAsia="仿宋" w:cs="宋体"/>
          <w:b/>
          <w:color w:val="000000"/>
          <w:kern w:val="0"/>
          <w:sz w:val="28"/>
          <w:szCs w:val="28"/>
        </w:rPr>
        <w:t xml:space="preserve">      </w:t>
      </w:r>
    </w:p>
    <w:p w14:paraId="385CC6D1">
      <w:pPr>
        <w:widowControl/>
        <w:spacing w:line="560" w:lineRule="exact"/>
        <w:jc w:val="center"/>
        <w:textAlignment w:val="baseline"/>
        <w:rPr>
          <w:rFonts w:ascii="宋体" w:hAnsi="宋体"/>
          <w:b/>
          <w:color w:val="000000"/>
          <w:kern w:val="0"/>
          <w:sz w:val="28"/>
          <w:szCs w:val="28"/>
        </w:rPr>
      </w:pPr>
      <w:r>
        <w:rPr>
          <w:rFonts w:hint="eastAsia" w:ascii="宋体" w:hAnsi="宋体"/>
          <w:b/>
          <w:color w:val="000000"/>
          <w:kern w:val="0"/>
          <w:sz w:val="28"/>
          <w:szCs w:val="28"/>
        </w:rPr>
        <w:t>报价一览表</w:t>
      </w:r>
    </w:p>
    <w:p w14:paraId="25D4D4D6">
      <w:pPr>
        <w:widowControl/>
        <w:adjustRightInd w:val="0"/>
        <w:snapToGrid w:val="0"/>
        <w:spacing w:line="425" w:lineRule="atLeast"/>
        <w:jc w:val="right"/>
        <w:textAlignment w:val="baseline"/>
        <w:rPr>
          <w:rFonts w:ascii="宋体" w:hAnsi="宋体"/>
          <w:color w:val="000000"/>
          <w:kern w:val="0"/>
          <w:sz w:val="24"/>
          <w:szCs w:val="24"/>
        </w:rPr>
      </w:pPr>
      <w:r>
        <w:rPr>
          <w:rFonts w:hint="eastAsia" w:ascii="宋体" w:hAnsi="宋体"/>
          <w:color w:val="000000"/>
          <w:kern w:val="0"/>
          <w:sz w:val="24"/>
          <w:szCs w:val="24"/>
        </w:rPr>
        <w:t>货币单位：人民币元</w:t>
      </w:r>
    </w:p>
    <w:tbl>
      <w:tblPr>
        <w:tblStyle w:val="7"/>
        <w:tblW w:w="0" w:type="auto"/>
        <w:jc w:val="center"/>
        <w:tblLayout w:type="fixed"/>
        <w:tblCellMar>
          <w:top w:w="0" w:type="dxa"/>
          <w:left w:w="30" w:type="dxa"/>
          <w:bottom w:w="0" w:type="dxa"/>
          <w:right w:w="30" w:type="dxa"/>
        </w:tblCellMar>
      </w:tblPr>
      <w:tblGrid>
        <w:gridCol w:w="2229"/>
        <w:gridCol w:w="7119"/>
      </w:tblGrid>
      <w:tr w14:paraId="3BB002DE">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nil"/>
              <w:right w:val="single" w:color="auto" w:sz="6" w:space="0"/>
            </w:tcBorders>
            <w:vAlign w:val="center"/>
          </w:tcPr>
          <w:p w14:paraId="2AC8FD1A">
            <w:pPr>
              <w:widowControl/>
              <w:autoSpaceDE w:val="0"/>
              <w:autoSpaceDN w:val="0"/>
              <w:adjustRightInd w:val="0"/>
              <w:spacing w:line="480" w:lineRule="exact"/>
              <w:jc w:val="center"/>
              <w:textAlignment w:val="baseline"/>
              <w:rPr>
                <w:rFonts w:ascii="宋体" w:hAnsi="宋体"/>
                <w:b/>
                <w:color w:val="000000"/>
                <w:kern w:val="0"/>
                <w:sz w:val="24"/>
                <w:szCs w:val="24"/>
              </w:rPr>
            </w:pPr>
            <w:r>
              <w:rPr>
                <w:rFonts w:hint="eastAsia" w:ascii="宋体" w:hAnsi="宋体"/>
                <w:b/>
                <w:color w:val="000000"/>
                <w:kern w:val="0"/>
                <w:sz w:val="24"/>
                <w:szCs w:val="24"/>
              </w:rPr>
              <w:t>项目名称</w:t>
            </w:r>
          </w:p>
        </w:tc>
        <w:tc>
          <w:tcPr>
            <w:tcW w:w="7119" w:type="dxa"/>
            <w:tcBorders>
              <w:top w:val="single" w:color="auto" w:sz="6" w:space="0"/>
              <w:left w:val="nil"/>
              <w:bottom w:val="single" w:color="auto" w:sz="6" w:space="0"/>
              <w:right w:val="single" w:color="auto" w:sz="6" w:space="0"/>
            </w:tcBorders>
            <w:vAlign w:val="center"/>
          </w:tcPr>
          <w:p w14:paraId="4C13777D">
            <w:pPr>
              <w:widowControl/>
              <w:autoSpaceDE w:val="0"/>
              <w:autoSpaceDN w:val="0"/>
              <w:adjustRightInd w:val="0"/>
              <w:spacing w:line="480" w:lineRule="exact"/>
              <w:jc w:val="center"/>
              <w:textAlignment w:val="baseline"/>
              <w:rPr>
                <w:rFonts w:ascii="宋体" w:hAnsi="宋体"/>
                <w:bCs/>
                <w:color w:val="000000"/>
                <w:kern w:val="0"/>
                <w:sz w:val="24"/>
                <w:szCs w:val="24"/>
              </w:rPr>
            </w:pPr>
            <w:r>
              <w:rPr>
                <w:rFonts w:hint="eastAsia" w:ascii="宋体" w:hAnsi="宋体"/>
                <w:bCs/>
                <w:color w:val="000000"/>
                <w:kern w:val="0"/>
                <w:sz w:val="24"/>
                <w:szCs w:val="24"/>
              </w:rPr>
              <w:t>广东财经大学佛山校区202</w:t>
            </w:r>
            <w:r>
              <w:rPr>
                <w:rFonts w:hint="eastAsia" w:ascii="宋体" w:hAnsi="宋体"/>
                <w:bCs/>
                <w:color w:val="000000"/>
                <w:kern w:val="0"/>
                <w:sz w:val="24"/>
                <w:szCs w:val="24"/>
                <w:lang w:val="en-US" w:eastAsia="zh-CN"/>
              </w:rPr>
              <w:t>7</w:t>
            </w:r>
            <w:r>
              <w:rPr>
                <w:rFonts w:hint="eastAsia" w:ascii="宋体" w:hAnsi="宋体"/>
                <w:bCs/>
                <w:color w:val="000000"/>
                <w:kern w:val="0"/>
                <w:sz w:val="24"/>
                <w:szCs w:val="24"/>
              </w:rPr>
              <w:t>年小额工程造价咨询服务项目</w:t>
            </w:r>
          </w:p>
        </w:tc>
      </w:tr>
      <w:tr w14:paraId="56E8F8A7">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nil"/>
              <w:right w:val="single" w:color="auto" w:sz="6" w:space="0"/>
            </w:tcBorders>
            <w:vAlign w:val="center"/>
          </w:tcPr>
          <w:p w14:paraId="6BF029C9">
            <w:pPr>
              <w:widowControl/>
              <w:autoSpaceDE w:val="0"/>
              <w:autoSpaceDN w:val="0"/>
              <w:adjustRightInd w:val="0"/>
              <w:spacing w:line="480" w:lineRule="exact"/>
              <w:jc w:val="center"/>
              <w:textAlignment w:val="baseline"/>
              <w:rPr>
                <w:rFonts w:ascii="宋体" w:hAnsi="宋体"/>
                <w:b/>
                <w:color w:val="000000"/>
                <w:kern w:val="0"/>
                <w:sz w:val="24"/>
                <w:szCs w:val="24"/>
              </w:rPr>
            </w:pPr>
            <w:r>
              <w:rPr>
                <w:rFonts w:hint="eastAsia" w:ascii="宋体" w:hAnsi="宋体"/>
                <w:b/>
                <w:color w:val="000000"/>
                <w:kern w:val="0"/>
                <w:sz w:val="24"/>
                <w:szCs w:val="24"/>
              </w:rPr>
              <w:t>项目编号</w:t>
            </w:r>
          </w:p>
        </w:tc>
        <w:tc>
          <w:tcPr>
            <w:tcW w:w="7119" w:type="dxa"/>
            <w:tcBorders>
              <w:top w:val="single" w:color="auto" w:sz="6" w:space="0"/>
              <w:left w:val="nil"/>
              <w:bottom w:val="single" w:color="auto" w:sz="6" w:space="0"/>
              <w:right w:val="single" w:color="auto" w:sz="6" w:space="0"/>
            </w:tcBorders>
            <w:vAlign w:val="center"/>
          </w:tcPr>
          <w:p w14:paraId="090A497A">
            <w:pPr>
              <w:widowControl/>
              <w:autoSpaceDE w:val="0"/>
              <w:autoSpaceDN w:val="0"/>
              <w:adjustRightInd w:val="0"/>
              <w:spacing w:line="480" w:lineRule="exact"/>
              <w:ind w:firstLine="480" w:firstLineChars="200"/>
              <w:textAlignment w:val="baseline"/>
              <w:rPr>
                <w:rFonts w:ascii="宋体" w:hAnsi="宋体"/>
                <w:color w:val="FF0000"/>
                <w:kern w:val="0"/>
                <w:sz w:val="24"/>
                <w:szCs w:val="24"/>
              </w:rPr>
            </w:pPr>
          </w:p>
        </w:tc>
      </w:tr>
      <w:tr w14:paraId="4B5F9BBB">
        <w:tblPrEx>
          <w:tblCellMar>
            <w:top w:w="0" w:type="dxa"/>
            <w:left w:w="30" w:type="dxa"/>
            <w:bottom w:w="0" w:type="dxa"/>
            <w:right w:w="30" w:type="dxa"/>
          </w:tblCellMar>
        </w:tblPrEx>
        <w:trPr>
          <w:cantSplit/>
          <w:trHeight w:val="829" w:hRule="atLeast"/>
          <w:jc w:val="center"/>
        </w:trPr>
        <w:tc>
          <w:tcPr>
            <w:tcW w:w="2229" w:type="dxa"/>
            <w:vMerge w:val="restart"/>
            <w:tcBorders>
              <w:top w:val="single" w:color="auto" w:sz="6" w:space="0"/>
              <w:left w:val="single" w:color="auto" w:sz="6" w:space="0"/>
              <w:bottom w:val="nil"/>
              <w:right w:val="single" w:color="auto" w:sz="6" w:space="0"/>
            </w:tcBorders>
            <w:vAlign w:val="center"/>
          </w:tcPr>
          <w:p w14:paraId="229E2EB8">
            <w:pPr>
              <w:widowControl/>
              <w:autoSpaceDE w:val="0"/>
              <w:autoSpaceDN w:val="0"/>
              <w:adjustRightInd w:val="0"/>
              <w:spacing w:line="480" w:lineRule="exact"/>
              <w:jc w:val="center"/>
              <w:textAlignment w:val="baseline"/>
              <w:rPr>
                <w:rFonts w:ascii="宋体" w:hAnsi="宋体"/>
                <w:b/>
                <w:color w:val="000000"/>
                <w:kern w:val="0"/>
                <w:sz w:val="24"/>
                <w:szCs w:val="24"/>
              </w:rPr>
            </w:pPr>
            <w:r>
              <w:rPr>
                <w:rFonts w:hint="eastAsia" w:ascii="宋体" w:hAnsi="宋体"/>
                <w:b/>
                <w:color w:val="000000"/>
                <w:kern w:val="0"/>
                <w:sz w:val="24"/>
                <w:szCs w:val="24"/>
              </w:rPr>
              <w:t>下浮率（%）</w:t>
            </w:r>
          </w:p>
        </w:tc>
        <w:tc>
          <w:tcPr>
            <w:tcW w:w="7119" w:type="dxa"/>
            <w:tcBorders>
              <w:top w:val="single" w:color="auto" w:sz="6" w:space="0"/>
              <w:left w:val="nil"/>
              <w:bottom w:val="single" w:color="auto" w:sz="6" w:space="0"/>
              <w:right w:val="single" w:color="auto" w:sz="6" w:space="0"/>
            </w:tcBorders>
            <w:vAlign w:val="center"/>
          </w:tcPr>
          <w:p w14:paraId="58F24C5E">
            <w:pPr>
              <w:widowControl/>
              <w:autoSpaceDE w:val="0"/>
              <w:autoSpaceDN w:val="0"/>
              <w:adjustRightInd w:val="0"/>
              <w:spacing w:line="480" w:lineRule="exact"/>
              <w:textAlignment w:val="baseline"/>
              <w:rPr>
                <w:rFonts w:ascii="宋体" w:hAnsi="宋体"/>
                <w:b/>
                <w:color w:val="000000"/>
                <w:kern w:val="0"/>
                <w:sz w:val="24"/>
                <w:szCs w:val="24"/>
                <w:u w:val="single"/>
              </w:rPr>
            </w:pPr>
          </w:p>
          <w:p w14:paraId="393BCD01">
            <w:pPr>
              <w:widowControl/>
              <w:autoSpaceDE w:val="0"/>
              <w:autoSpaceDN w:val="0"/>
              <w:adjustRightInd w:val="0"/>
              <w:spacing w:line="480" w:lineRule="exact"/>
              <w:ind w:firstLine="361" w:firstLineChars="150"/>
              <w:textAlignment w:val="baseline"/>
              <w:rPr>
                <w:rFonts w:ascii="宋体" w:hAnsi="宋体"/>
                <w:color w:val="000000"/>
                <w:kern w:val="0"/>
                <w:sz w:val="24"/>
                <w:szCs w:val="24"/>
              </w:rPr>
            </w:pPr>
            <w:r>
              <w:rPr>
                <w:rFonts w:hint="eastAsia" w:ascii="宋体" w:hAnsi="宋体"/>
                <w:b/>
                <w:color w:val="000000"/>
                <w:kern w:val="0"/>
                <w:sz w:val="24"/>
                <w:szCs w:val="24"/>
                <w:u w:val="single"/>
              </w:rPr>
              <w:t xml:space="preserve">                                    </w:t>
            </w:r>
          </w:p>
        </w:tc>
      </w:tr>
      <w:tr w14:paraId="39A55260">
        <w:tblPrEx>
          <w:tblCellMar>
            <w:top w:w="0" w:type="dxa"/>
            <w:left w:w="30" w:type="dxa"/>
            <w:bottom w:w="0" w:type="dxa"/>
            <w:right w:w="30" w:type="dxa"/>
          </w:tblCellMar>
        </w:tblPrEx>
        <w:trPr>
          <w:cantSplit/>
          <w:trHeight w:val="971" w:hRule="atLeast"/>
          <w:jc w:val="center"/>
        </w:trPr>
        <w:tc>
          <w:tcPr>
            <w:tcW w:w="2229" w:type="dxa"/>
            <w:vMerge w:val="continue"/>
            <w:tcBorders>
              <w:top w:val="single" w:color="auto" w:sz="6" w:space="0"/>
              <w:left w:val="single" w:color="auto" w:sz="6" w:space="0"/>
              <w:bottom w:val="nil"/>
              <w:right w:val="single" w:color="auto" w:sz="6" w:space="0"/>
            </w:tcBorders>
            <w:vAlign w:val="center"/>
          </w:tcPr>
          <w:p w14:paraId="6844D245">
            <w:pPr>
              <w:widowControl/>
              <w:jc w:val="left"/>
              <w:rPr>
                <w:rFonts w:ascii="宋体" w:hAnsi="宋体"/>
                <w:b/>
                <w:color w:val="000000"/>
                <w:kern w:val="0"/>
                <w:sz w:val="24"/>
                <w:szCs w:val="24"/>
              </w:rPr>
            </w:pPr>
          </w:p>
        </w:tc>
        <w:tc>
          <w:tcPr>
            <w:tcW w:w="7119" w:type="dxa"/>
            <w:tcBorders>
              <w:top w:val="single" w:color="auto" w:sz="6" w:space="0"/>
              <w:left w:val="nil"/>
              <w:bottom w:val="single" w:color="auto" w:sz="6" w:space="0"/>
              <w:right w:val="single" w:color="auto" w:sz="6" w:space="0"/>
            </w:tcBorders>
            <w:vAlign w:val="center"/>
          </w:tcPr>
          <w:p w14:paraId="0B5B750B">
            <w:pPr>
              <w:widowControl/>
              <w:autoSpaceDE w:val="0"/>
              <w:autoSpaceDN w:val="0"/>
              <w:adjustRightInd w:val="0"/>
              <w:spacing w:line="480" w:lineRule="exact"/>
              <w:ind w:firstLine="843" w:firstLineChars="350"/>
              <w:textAlignment w:val="baseline"/>
              <w:rPr>
                <w:rFonts w:ascii="宋体"/>
                <w:b/>
                <w:color w:val="000000"/>
                <w:kern w:val="0"/>
                <w:sz w:val="24"/>
                <w:szCs w:val="24"/>
                <w:u w:val="single"/>
              </w:rPr>
            </w:pPr>
          </w:p>
          <w:p w14:paraId="15F69154">
            <w:pPr>
              <w:widowControl/>
              <w:autoSpaceDE w:val="0"/>
              <w:autoSpaceDN w:val="0"/>
              <w:adjustRightInd w:val="0"/>
              <w:spacing w:line="480" w:lineRule="exact"/>
              <w:ind w:firstLine="361" w:firstLineChars="150"/>
              <w:textAlignment w:val="baseline"/>
              <w:rPr>
                <w:rFonts w:ascii="宋体" w:hAnsi="宋体"/>
                <w:color w:val="000000"/>
                <w:kern w:val="0"/>
                <w:sz w:val="24"/>
                <w:szCs w:val="24"/>
              </w:rPr>
            </w:pPr>
            <w:r>
              <w:rPr>
                <w:rFonts w:hint="eastAsia" w:ascii="宋体" w:hAnsi="宋体"/>
                <w:b/>
                <w:color w:val="000000"/>
                <w:kern w:val="0"/>
                <w:sz w:val="24"/>
                <w:szCs w:val="24"/>
                <w:u w:val="single"/>
              </w:rPr>
              <w:t>大写：</w:t>
            </w:r>
            <w:r>
              <w:rPr>
                <w:rFonts w:hint="eastAsia" w:ascii="宋体"/>
                <w:b/>
                <w:color w:val="000000"/>
                <w:kern w:val="0"/>
                <w:sz w:val="24"/>
                <w:szCs w:val="24"/>
                <w:u w:val="single"/>
              </w:rPr>
              <w:t xml:space="preserve"> </w:t>
            </w:r>
            <w:r>
              <w:rPr>
                <w:rFonts w:hint="eastAsia" w:ascii="宋体" w:hAnsi="宋体"/>
                <w:b/>
                <w:color w:val="000000"/>
                <w:kern w:val="0"/>
                <w:sz w:val="24"/>
                <w:szCs w:val="24"/>
                <w:u w:val="single"/>
              </w:rPr>
              <w:t xml:space="preserve">                                       </w:t>
            </w:r>
          </w:p>
        </w:tc>
      </w:tr>
      <w:tr w14:paraId="171DC430">
        <w:tblPrEx>
          <w:tblCellMar>
            <w:top w:w="0" w:type="dxa"/>
            <w:left w:w="30" w:type="dxa"/>
            <w:bottom w:w="0" w:type="dxa"/>
            <w:right w:w="30" w:type="dxa"/>
          </w:tblCellMar>
        </w:tblPrEx>
        <w:trPr>
          <w:cantSplit/>
          <w:trHeight w:val="660" w:hRule="atLeast"/>
          <w:jc w:val="center"/>
        </w:trPr>
        <w:tc>
          <w:tcPr>
            <w:tcW w:w="2229" w:type="dxa"/>
            <w:tcBorders>
              <w:top w:val="single" w:color="auto" w:sz="6" w:space="0"/>
              <w:left w:val="single" w:color="auto" w:sz="6" w:space="0"/>
              <w:bottom w:val="single" w:color="auto" w:sz="6" w:space="0"/>
              <w:right w:val="single" w:color="auto" w:sz="6" w:space="0"/>
            </w:tcBorders>
            <w:vAlign w:val="center"/>
          </w:tcPr>
          <w:p w14:paraId="342F6445">
            <w:pPr>
              <w:widowControl/>
              <w:autoSpaceDE w:val="0"/>
              <w:autoSpaceDN w:val="0"/>
              <w:adjustRightInd w:val="0"/>
              <w:spacing w:line="480" w:lineRule="exact"/>
              <w:jc w:val="center"/>
              <w:textAlignment w:val="baseline"/>
              <w:rPr>
                <w:rFonts w:ascii="宋体" w:hAnsi="宋体"/>
                <w:b/>
                <w:color w:val="000000"/>
                <w:kern w:val="0"/>
                <w:sz w:val="24"/>
                <w:szCs w:val="24"/>
              </w:rPr>
            </w:pPr>
            <w:r>
              <w:rPr>
                <w:rFonts w:hint="eastAsia" w:ascii="宋体" w:hAnsi="宋体"/>
                <w:b/>
                <w:color w:val="000000"/>
                <w:kern w:val="0"/>
                <w:sz w:val="24"/>
                <w:szCs w:val="24"/>
              </w:rPr>
              <w:t>备注</w:t>
            </w:r>
          </w:p>
        </w:tc>
        <w:tc>
          <w:tcPr>
            <w:tcW w:w="7119" w:type="dxa"/>
            <w:tcBorders>
              <w:top w:val="single" w:color="auto" w:sz="6" w:space="0"/>
              <w:left w:val="nil"/>
              <w:bottom w:val="single" w:color="auto" w:sz="6" w:space="0"/>
              <w:right w:val="single" w:color="auto" w:sz="6" w:space="0"/>
            </w:tcBorders>
            <w:vAlign w:val="center"/>
          </w:tcPr>
          <w:p w14:paraId="38CA9F5A">
            <w:pPr>
              <w:widowControl/>
              <w:autoSpaceDE w:val="0"/>
              <w:autoSpaceDN w:val="0"/>
              <w:adjustRightInd w:val="0"/>
              <w:spacing w:line="480" w:lineRule="exact"/>
              <w:jc w:val="center"/>
              <w:textAlignment w:val="baseline"/>
              <w:rPr>
                <w:rFonts w:ascii="宋体" w:hAnsi="宋体"/>
                <w:color w:val="000000"/>
                <w:kern w:val="0"/>
                <w:sz w:val="24"/>
                <w:szCs w:val="24"/>
              </w:rPr>
            </w:pPr>
          </w:p>
        </w:tc>
      </w:tr>
    </w:tbl>
    <w:p w14:paraId="3E6453ED">
      <w:pPr>
        <w:spacing w:line="360" w:lineRule="auto"/>
        <w:rPr>
          <w:rFonts w:ascii="宋体" w:hAnsi="宋体"/>
          <w:kern w:val="0"/>
          <w:sz w:val="24"/>
          <w:szCs w:val="24"/>
        </w:rPr>
      </w:pPr>
      <w:r>
        <w:rPr>
          <w:rFonts w:hint="eastAsia" w:ascii="宋体" w:hAnsi="宋体"/>
          <w:kern w:val="0"/>
          <w:sz w:val="24"/>
          <w:szCs w:val="24"/>
        </w:rPr>
        <w:t>注：</w:t>
      </w:r>
    </w:p>
    <w:p w14:paraId="42ABC1C8">
      <w:pPr>
        <w:spacing w:line="360" w:lineRule="auto"/>
        <w:ind w:left="336"/>
        <w:rPr>
          <w:rFonts w:ascii="宋体" w:hAnsi="宋体"/>
          <w:kern w:val="0"/>
          <w:sz w:val="24"/>
          <w:szCs w:val="24"/>
        </w:rPr>
      </w:pPr>
      <w:r>
        <w:rPr>
          <w:rFonts w:hint="eastAsia" w:ascii="宋体" w:hAnsi="宋体"/>
          <w:kern w:val="0"/>
          <w:sz w:val="24"/>
          <w:szCs w:val="24"/>
        </w:rPr>
        <w:t>1、本表报价包含完成本项目应预见和不可预见的一切含税费用。</w:t>
      </w:r>
    </w:p>
    <w:p w14:paraId="20D59EE8">
      <w:pPr>
        <w:spacing w:line="360" w:lineRule="auto"/>
        <w:ind w:left="336"/>
        <w:rPr>
          <w:rFonts w:ascii="宋体" w:hAnsi="宋体"/>
          <w:kern w:val="0"/>
          <w:sz w:val="24"/>
          <w:szCs w:val="24"/>
        </w:rPr>
      </w:pPr>
      <w:r>
        <w:rPr>
          <w:rFonts w:hint="eastAsia" w:ascii="宋体" w:hAnsi="宋体"/>
          <w:kern w:val="0"/>
          <w:sz w:val="24"/>
          <w:szCs w:val="24"/>
        </w:rPr>
        <w:t>2、表中总报价小写金额与大写金额不一致的，以大写金额为准。</w:t>
      </w:r>
    </w:p>
    <w:p w14:paraId="15CC2E70">
      <w:pPr>
        <w:spacing w:line="360" w:lineRule="auto"/>
        <w:ind w:left="336"/>
        <w:rPr>
          <w:rFonts w:ascii="宋体" w:hAnsi="宋体"/>
          <w:kern w:val="0"/>
          <w:sz w:val="24"/>
          <w:szCs w:val="24"/>
        </w:rPr>
      </w:pPr>
      <w:r>
        <w:rPr>
          <w:rFonts w:hint="eastAsia" w:ascii="宋体" w:hAnsi="宋体"/>
          <w:kern w:val="0"/>
          <w:sz w:val="24"/>
          <w:szCs w:val="24"/>
        </w:rPr>
        <w:t>3、填写此表时不得改变表格的形式。</w:t>
      </w:r>
    </w:p>
    <w:p w14:paraId="155106F6">
      <w:pPr>
        <w:spacing w:line="360" w:lineRule="auto"/>
        <w:ind w:left="336"/>
        <w:rPr>
          <w:rFonts w:ascii="宋体" w:hAnsi="宋体"/>
          <w:kern w:val="0"/>
          <w:sz w:val="24"/>
          <w:szCs w:val="24"/>
        </w:rPr>
      </w:pPr>
      <w:r>
        <w:rPr>
          <w:rFonts w:hint="eastAsia" w:ascii="宋体" w:hAnsi="宋体"/>
          <w:kern w:val="0"/>
          <w:sz w:val="24"/>
          <w:szCs w:val="24"/>
        </w:rPr>
        <w:t>4、以上表中内容必须计算机录入、填写、打印。手写按无效报价处理。</w:t>
      </w:r>
    </w:p>
    <w:p w14:paraId="14D00DC1">
      <w:pPr>
        <w:widowControl/>
        <w:adjustRightInd w:val="0"/>
        <w:snapToGrid w:val="0"/>
        <w:spacing w:line="425" w:lineRule="atLeast"/>
        <w:textAlignment w:val="baseline"/>
        <w:rPr>
          <w:rFonts w:ascii="宋体" w:hAnsi="宋体"/>
          <w:b/>
          <w:color w:val="000000"/>
          <w:kern w:val="0"/>
          <w:sz w:val="24"/>
          <w:szCs w:val="24"/>
        </w:rPr>
      </w:pPr>
      <w:r>
        <w:rPr>
          <w:rFonts w:hint="eastAsia" w:ascii="宋体" w:hAnsi="宋体"/>
          <w:b/>
          <w:color w:val="000000"/>
          <w:kern w:val="0"/>
          <w:sz w:val="24"/>
          <w:szCs w:val="24"/>
        </w:rPr>
        <w:t xml:space="preserve"> </w:t>
      </w:r>
    </w:p>
    <w:p w14:paraId="56E94077">
      <w:pPr>
        <w:widowControl/>
        <w:spacing w:line="480" w:lineRule="exact"/>
        <w:ind w:left="4599" w:leftChars="2190" w:firstLine="240" w:firstLineChars="10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报价供应商（公章）：</w:t>
      </w:r>
    </w:p>
    <w:p w14:paraId="264B97D5">
      <w:pPr>
        <w:widowControl/>
        <w:spacing w:line="480" w:lineRule="exact"/>
        <w:ind w:left="4599" w:leftChars="2190" w:firstLine="240" w:firstLineChars="10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报价供应商地址：</w:t>
      </w:r>
    </w:p>
    <w:p w14:paraId="605D1C11">
      <w:pPr>
        <w:widowControl/>
        <w:spacing w:line="480" w:lineRule="exact"/>
        <w:ind w:left="4599" w:leftChars="2190" w:firstLine="240" w:firstLineChars="10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法人或代理人姓名（签名）：</w:t>
      </w:r>
    </w:p>
    <w:p w14:paraId="547A898E">
      <w:pPr>
        <w:widowControl/>
        <w:spacing w:line="480" w:lineRule="exact"/>
        <w:ind w:left="4599" w:leftChars="2190" w:firstLine="240" w:firstLineChars="10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联 系 电 话：</w:t>
      </w:r>
    </w:p>
    <w:p w14:paraId="5523BF4A">
      <w:pPr>
        <w:widowControl/>
        <w:spacing w:line="480" w:lineRule="exact"/>
        <w:ind w:left="4599" w:leftChars="2190" w:firstLine="240" w:firstLineChars="10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日       期：</w:t>
      </w:r>
    </w:p>
    <w:p w14:paraId="15E77B5C">
      <w:pPr>
        <w:widowControl/>
        <w:spacing w:line="425" w:lineRule="atLeast"/>
        <w:textAlignment w:val="baseline"/>
        <w:rPr>
          <w:rFonts w:ascii="仿宋" w:hAnsi="仿宋" w:eastAsia="仿宋" w:cs="宋体"/>
          <w:b/>
          <w:color w:val="000000"/>
          <w:kern w:val="0"/>
          <w:sz w:val="24"/>
          <w:szCs w:val="24"/>
        </w:rPr>
      </w:pPr>
      <w:r>
        <w:rPr>
          <w:rFonts w:hint="eastAsia" w:ascii="仿宋" w:hAnsi="仿宋" w:eastAsia="仿宋" w:cs="宋体"/>
          <w:b/>
          <w:color w:val="000000"/>
          <w:kern w:val="0"/>
          <w:sz w:val="24"/>
          <w:szCs w:val="24"/>
        </w:rPr>
        <w:t xml:space="preserve"> </w:t>
      </w:r>
    </w:p>
    <w:p w14:paraId="0553DD7F">
      <w:pPr>
        <w:widowControl/>
        <w:spacing w:line="425" w:lineRule="atLeast"/>
        <w:textAlignment w:val="baseline"/>
        <w:rPr>
          <w:rFonts w:ascii="仿宋" w:hAnsi="仿宋" w:eastAsia="仿宋" w:cs="宋体"/>
          <w:b/>
          <w:color w:val="000000"/>
          <w:kern w:val="0"/>
          <w:sz w:val="24"/>
          <w:szCs w:val="24"/>
        </w:rPr>
      </w:pPr>
      <w:r>
        <w:rPr>
          <w:rFonts w:hint="eastAsia" w:ascii="仿宋" w:hAnsi="仿宋" w:eastAsia="仿宋" w:cs="宋体"/>
          <w:b/>
          <w:color w:val="000000"/>
          <w:kern w:val="0"/>
          <w:sz w:val="24"/>
          <w:szCs w:val="24"/>
        </w:rPr>
        <w:t>（注：本证明书为</w:t>
      </w:r>
      <w:r>
        <w:rPr>
          <w:rFonts w:hint="eastAsia" w:ascii="仿宋" w:hAnsi="仿宋" w:eastAsia="仿宋" w:cs="宋体"/>
          <w:b/>
          <w:color w:val="000000"/>
          <w:kern w:val="0"/>
          <w:sz w:val="24"/>
          <w:szCs w:val="24"/>
          <w:u w:val="single"/>
        </w:rPr>
        <w:t>必要文件(不得改变格式)</w:t>
      </w:r>
      <w:r>
        <w:rPr>
          <w:rFonts w:hint="eastAsia" w:ascii="仿宋" w:hAnsi="仿宋" w:eastAsia="仿宋" w:cs="宋体"/>
          <w:b/>
          <w:color w:val="000000"/>
          <w:kern w:val="0"/>
          <w:sz w:val="24"/>
          <w:szCs w:val="24"/>
        </w:rPr>
        <w:t>，必须</w:t>
      </w:r>
      <w:r>
        <w:rPr>
          <w:rFonts w:hint="eastAsia" w:ascii="仿宋" w:hAnsi="仿宋" w:eastAsia="仿宋" w:cs="宋体"/>
          <w:b/>
          <w:color w:val="000000"/>
          <w:kern w:val="0"/>
          <w:sz w:val="24"/>
          <w:szCs w:val="24"/>
          <w:u w:val="single"/>
        </w:rPr>
        <w:t>加盖报价供应商公章</w:t>
      </w:r>
      <w:r>
        <w:rPr>
          <w:rFonts w:hint="eastAsia" w:ascii="仿宋" w:hAnsi="仿宋" w:eastAsia="仿宋" w:cs="宋体"/>
          <w:b/>
          <w:color w:val="000000"/>
          <w:kern w:val="0"/>
          <w:sz w:val="24"/>
          <w:szCs w:val="24"/>
        </w:rPr>
        <w:t>，必须有法人或代理人</w:t>
      </w:r>
      <w:r>
        <w:rPr>
          <w:rFonts w:hint="eastAsia" w:ascii="仿宋" w:hAnsi="仿宋" w:eastAsia="仿宋" w:cs="宋体"/>
          <w:b/>
          <w:color w:val="000000"/>
          <w:kern w:val="0"/>
          <w:sz w:val="24"/>
          <w:szCs w:val="24"/>
          <w:u w:val="single"/>
        </w:rPr>
        <w:t>亲笔签名</w:t>
      </w:r>
      <w:r>
        <w:rPr>
          <w:rFonts w:hint="eastAsia" w:ascii="仿宋" w:hAnsi="仿宋" w:eastAsia="仿宋" w:cs="宋体"/>
          <w:b/>
          <w:color w:val="000000"/>
          <w:kern w:val="0"/>
          <w:sz w:val="24"/>
          <w:szCs w:val="24"/>
        </w:rPr>
        <w:t>，否则，作无效处理）</w:t>
      </w:r>
    </w:p>
    <w:p w14:paraId="379C8501">
      <w:pPr>
        <w:widowControl/>
        <w:spacing w:line="425" w:lineRule="atLeast"/>
        <w:textAlignment w:val="baseline"/>
        <w:rPr>
          <w:rFonts w:ascii="仿宋" w:hAnsi="仿宋" w:eastAsia="仿宋" w:cs="Tahoma"/>
          <w:b/>
          <w:color w:val="000000"/>
          <w:kern w:val="0"/>
          <w:sz w:val="24"/>
          <w:szCs w:val="24"/>
        </w:rPr>
      </w:pPr>
      <w:r>
        <w:rPr>
          <w:rFonts w:hint="eastAsia" w:ascii="仿宋" w:hAnsi="仿宋" w:eastAsia="仿宋" w:cs="Tahoma"/>
          <w:b/>
          <w:color w:val="000000"/>
          <w:kern w:val="0"/>
          <w:sz w:val="24"/>
          <w:szCs w:val="24"/>
        </w:rPr>
        <w:t xml:space="preserve"> </w:t>
      </w:r>
    </w:p>
    <w:p w14:paraId="2A0586FC">
      <w:pPr>
        <w:widowControl/>
        <w:jc w:val="left"/>
        <w:rPr>
          <w:rFonts w:ascii="宋体" w:hAnsi="宋体" w:cs="Tahoma"/>
          <w:color w:val="000000"/>
          <w:kern w:val="0"/>
          <w:sz w:val="24"/>
          <w:szCs w:val="24"/>
        </w:rPr>
        <w:sectPr>
          <w:pgSz w:w="11905" w:h="16837"/>
          <w:pgMar w:top="1418" w:right="1474" w:bottom="1418" w:left="1588" w:header="851" w:footer="992" w:gutter="0"/>
          <w:cols w:space="720" w:num="1"/>
          <w:docGrid w:type="lines" w:linePitch="286" w:charSpace="0"/>
        </w:sectPr>
      </w:pPr>
    </w:p>
    <w:p w14:paraId="666DC3A7">
      <w:pPr>
        <w:widowControl/>
        <w:spacing w:line="425" w:lineRule="atLeast"/>
        <w:textAlignment w:val="baseline"/>
        <w:rPr>
          <w:rFonts w:ascii="仿宋" w:hAnsi="仿宋" w:eastAsia="仿宋"/>
          <w:b/>
          <w:color w:val="000000"/>
          <w:kern w:val="0"/>
          <w:sz w:val="28"/>
          <w:szCs w:val="28"/>
        </w:rPr>
      </w:pPr>
      <w:r>
        <w:rPr>
          <w:rFonts w:hint="eastAsia" w:ascii="仿宋" w:hAnsi="仿宋" w:eastAsia="仿宋" w:cs="宋体"/>
          <w:b/>
          <w:color w:val="000000"/>
          <w:kern w:val="0"/>
          <w:sz w:val="24"/>
          <w:szCs w:val="24"/>
        </w:rPr>
        <w:t>附件3</w:t>
      </w:r>
    </w:p>
    <w:p w14:paraId="56EB4B68">
      <w:pPr>
        <w:keepNext/>
        <w:keepLines/>
        <w:widowControl/>
        <w:spacing w:line="400" w:lineRule="exact"/>
        <w:jc w:val="left"/>
        <w:textAlignment w:val="baseline"/>
        <w:outlineLvl w:val="1"/>
        <w:rPr>
          <w:rFonts w:ascii="仿宋" w:hAnsi="仿宋" w:eastAsia="仿宋" w:cs="宋体"/>
          <w:bCs/>
          <w:color w:val="000000"/>
          <w:kern w:val="0"/>
          <w:sz w:val="24"/>
          <w:szCs w:val="24"/>
        </w:rPr>
      </w:pPr>
      <w:r>
        <w:rPr>
          <w:rFonts w:hint="eastAsia" w:ascii="仿宋" w:hAnsi="仿宋" w:eastAsia="仿宋" w:cs="宋体"/>
          <w:bCs/>
          <w:color w:val="000000"/>
          <w:kern w:val="0"/>
          <w:sz w:val="24"/>
          <w:szCs w:val="24"/>
        </w:rPr>
        <w:t xml:space="preserve"> </w:t>
      </w:r>
    </w:p>
    <w:p w14:paraId="7435AE74">
      <w:pPr>
        <w:keepNext/>
        <w:keepLines/>
        <w:widowControl/>
        <w:spacing w:line="400" w:lineRule="exact"/>
        <w:jc w:val="center"/>
        <w:textAlignment w:val="baseline"/>
        <w:outlineLvl w:val="1"/>
        <w:rPr>
          <w:rFonts w:ascii="仿宋" w:hAnsi="仿宋" w:eastAsia="仿宋"/>
          <w:b/>
          <w:color w:val="000000"/>
          <w:kern w:val="0"/>
          <w:sz w:val="32"/>
          <w:szCs w:val="32"/>
        </w:rPr>
      </w:pPr>
      <w:r>
        <w:rPr>
          <w:rFonts w:hint="eastAsia" w:ascii="仿宋" w:hAnsi="仿宋" w:eastAsia="仿宋" w:cs="宋体"/>
          <w:b/>
          <w:color w:val="000000"/>
          <w:kern w:val="0"/>
          <w:sz w:val="32"/>
          <w:szCs w:val="32"/>
        </w:rPr>
        <w:t>承诺书</w:t>
      </w:r>
    </w:p>
    <w:p w14:paraId="63D6FE6D">
      <w:pPr>
        <w:widowControl/>
        <w:spacing w:line="425" w:lineRule="atLeast"/>
        <w:jc w:val="center"/>
        <w:textAlignment w:val="baseline"/>
        <w:rPr>
          <w:rFonts w:ascii="仿宋" w:hAnsi="仿宋" w:eastAsia="仿宋"/>
          <w:color w:val="000000"/>
          <w:kern w:val="0"/>
          <w:sz w:val="23"/>
          <w:szCs w:val="23"/>
        </w:rPr>
      </w:pPr>
      <w:r>
        <w:rPr>
          <w:rFonts w:hint="eastAsia" w:ascii="仿宋" w:hAnsi="仿宋" w:eastAsia="仿宋"/>
          <w:color w:val="000000"/>
          <w:kern w:val="0"/>
          <w:sz w:val="23"/>
          <w:szCs w:val="23"/>
        </w:rPr>
        <w:t xml:space="preserve"> </w:t>
      </w:r>
    </w:p>
    <w:p w14:paraId="32F49BCE">
      <w:pPr>
        <w:spacing w:line="480" w:lineRule="auto"/>
        <w:jc w:val="left"/>
        <w:rPr>
          <w:rFonts w:ascii="仿宋" w:hAnsi="仿宋" w:eastAsia="仿宋"/>
          <w:color w:val="000000"/>
          <w:kern w:val="0"/>
          <w:sz w:val="24"/>
          <w:szCs w:val="24"/>
        </w:rPr>
      </w:pPr>
      <w:r>
        <w:rPr>
          <w:rFonts w:hint="eastAsia" w:ascii="仿宋" w:hAnsi="仿宋" w:eastAsia="仿宋"/>
          <w:color w:val="000000"/>
          <w:kern w:val="0"/>
          <w:sz w:val="24"/>
          <w:szCs w:val="24"/>
        </w:rPr>
        <w:t xml:space="preserve"> </w:t>
      </w:r>
    </w:p>
    <w:p w14:paraId="77CAA873">
      <w:pPr>
        <w:spacing w:line="480" w:lineRule="auto"/>
        <w:ind w:firstLine="480" w:firstLineChars="200"/>
        <w:jc w:val="left"/>
        <w:rPr>
          <w:rFonts w:ascii="仿宋" w:hAnsi="仿宋" w:eastAsia="仿宋" w:cs="宋体"/>
          <w:color w:val="000000"/>
          <w:kern w:val="0"/>
          <w:sz w:val="24"/>
          <w:szCs w:val="24"/>
        </w:rPr>
      </w:pPr>
      <w:r>
        <w:rPr>
          <w:rFonts w:hint="eastAsia" w:ascii="仿宋" w:hAnsi="仿宋" w:eastAsia="仿宋" w:cs="宋体"/>
          <w:color w:val="000000"/>
          <w:kern w:val="0"/>
          <w:sz w:val="24"/>
          <w:szCs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14:paraId="706099A5">
      <w:pPr>
        <w:widowControl/>
        <w:spacing w:line="425" w:lineRule="atLeast"/>
        <w:ind w:firstLine="480" w:firstLineChars="200"/>
        <w:jc w:val="left"/>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 </w:t>
      </w:r>
    </w:p>
    <w:p w14:paraId="0EFAA1F3">
      <w:pPr>
        <w:widowControl/>
        <w:autoSpaceDE w:val="0"/>
        <w:autoSpaceDN w:val="0"/>
        <w:adjustRightInd w:val="0"/>
        <w:spacing w:line="425" w:lineRule="atLeast"/>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                                 </w:t>
      </w:r>
    </w:p>
    <w:p w14:paraId="376F21A4">
      <w:pPr>
        <w:widowControl/>
        <w:spacing w:line="480" w:lineRule="exact"/>
        <w:ind w:left="4599" w:leftChars="2190" w:firstLine="240" w:firstLineChars="10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报价供应商（公章）：</w:t>
      </w:r>
    </w:p>
    <w:p w14:paraId="07242982">
      <w:pPr>
        <w:widowControl/>
        <w:spacing w:line="480" w:lineRule="exact"/>
        <w:ind w:left="4599" w:leftChars="2190" w:firstLine="240" w:firstLineChars="10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报价供应商地址：</w:t>
      </w:r>
    </w:p>
    <w:p w14:paraId="2C1D22DF">
      <w:pPr>
        <w:widowControl/>
        <w:spacing w:line="480" w:lineRule="exact"/>
        <w:ind w:left="4599" w:leftChars="2190" w:firstLine="240" w:firstLineChars="10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法人或代理人姓名（签名）：</w:t>
      </w:r>
    </w:p>
    <w:p w14:paraId="4335539D">
      <w:pPr>
        <w:widowControl/>
        <w:spacing w:line="425" w:lineRule="atLeast"/>
        <w:ind w:firstLine="4800" w:firstLineChars="2000"/>
        <w:textAlignment w:val="baseline"/>
        <w:rPr>
          <w:color w:val="000000"/>
          <w:kern w:val="0"/>
        </w:rPr>
      </w:pPr>
      <w:r>
        <w:rPr>
          <w:rFonts w:hint="eastAsia" w:ascii="仿宋" w:hAnsi="仿宋" w:eastAsia="仿宋" w:cs="宋体"/>
          <w:color w:val="000000"/>
          <w:kern w:val="0"/>
          <w:sz w:val="24"/>
          <w:szCs w:val="24"/>
        </w:rPr>
        <w:t>联 系 电 话：</w:t>
      </w:r>
    </w:p>
    <w:p w14:paraId="38A72143">
      <w:pPr>
        <w:widowControl/>
        <w:spacing w:line="480" w:lineRule="exact"/>
        <w:ind w:left="4599" w:leftChars="2190" w:firstLine="240" w:firstLineChars="10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日    期：</w:t>
      </w:r>
    </w:p>
    <w:p w14:paraId="3F231B9D">
      <w:pPr>
        <w:widowControl/>
        <w:spacing w:line="425" w:lineRule="atLeast"/>
        <w:textAlignment w:val="baseline"/>
        <w:rPr>
          <w:rFonts w:ascii="仿宋" w:hAnsi="仿宋" w:eastAsia="仿宋" w:cs="宋体"/>
          <w:b/>
          <w:color w:val="000000"/>
          <w:kern w:val="0"/>
          <w:sz w:val="24"/>
          <w:szCs w:val="24"/>
        </w:rPr>
      </w:pPr>
      <w:r>
        <w:rPr>
          <w:rFonts w:hint="eastAsia" w:ascii="仿宋" w:hAnsi="仿宋" w:eastAsia="仿宋" w:cs="宋体"/>
          <w:b/>
          <w:color w:val="000000"/>
          <w:kern w:val="0"/>
          <w:sz w:val="24"/>
          <w:szCs w:val="24"/>
        </w:rPr>
        <w:t xml:space="preserve"> </w:t>
      </w:r>
    </w:p>
    <w:p w14:paraId="45CC5E3B">
      <w:pPr>
        <w:widowControl/>
        <w:spacing w:line="425" w:lineRule="atLeast"/>
        <w:textAlignment w:val="baseline"/>
        <w:rPr>
          <w:rFonts w:ascii="仿宋" w:hAnsi="仿宋" w:eastAsia="仿宋" w:cs="宋体"/>
          <w:b/>
          <w:color w:val="000000"/>
          <w:kern w:val="0"/>
          <w:sz w:val="24"/>
          <w:szCs w:val="24"/>
        </w:rPr>
      </w:pPr>
      <w:r>
        <w:rPr>
          <w:rFonts w:hint="eastAsia" w:ascii="仿宋" w:hAnsi="仿宋" w:eastAsia="仿宋" w:cs="宋体"/>
          <w:b/>
          <w:color w:val="000000"/>
          <w:kern w:val="0"/>
          <w:sz w:val="24"/>
          <w:szCs w:val="24"/>
        </w:rPr>
        <w:t>（注：本证明书为</w:t>
      </w:r>
      <w:r>
        <w:rPr>
          <w:rFonts w:hint="eastAsia" w:ascii="仿宋" w:hAnsi="仿宋" w:eastAsia="仿宋" w:cs="宋体"/>
          <w:b/>
          <w:color w:val="000000"/>
          <w:kern w:val="0"/>
          <w:sz w:val="24"/>
          <w:szCs w:val="24"/>
          <w:u w:val="single"/>
        </w:rPr>
        <w:t>必要文件(不得改变格式)</w:t>
      </w:r>
      <w:r>
        <w:rPr>
          <w:rFonts w:hint="eastAsia" w:ascii="仿宋" w:hAnsi="仿宋" w:eastAsia="仿宋" w:cs="宋体"/>
          <w:b/>
          <w:color w:val="000000"/>
          <w:kern w:val="0"/>
          <w:sz w:val="24"/>
          <w:szCs w:val="24"/>
        </w:rPr>
        <w:t>，必须</w:t>
      </w:r>
      <w:r>
        <w:rPr>
          <w:rFonts w:hint="eastAsia" w:ascii="仿宋" w:hAnsi="仿宋" w:eastAsia="仿宋" w:cs="宋体"/>
          <w:b/>
          <w:color w:val="000000"/>
          <w:kern w:val="0"/>
          <w:sz w:val="24"/>
          <w:szCs w:val="24"/>
          <w:u w:val="single"/>
        </w:rPr>
        <w:t>加盖报价供应商公章</w:t>
      </w:r>
      <w:r>
        <w:rPr>
          <w:rFonts w:hint="eastAsia" w:ascii="仿宋" w:hAnsi="仿宋" w:eastAsia="仿宋" w:cs="宋体"/>
          <w:b/>
          <w:color w:val="000000"/>
          <w:kern w:val="0"/>
          <w:sz w:val="24"/>
          <w:szCs w:val="24"/>
        </w:rPr>
        <w:t>，必须有法人或代理人</w:t>
      </w:r>
      <w:r>
        <w:rPr>
          <w:rFonts w:hint="eastAsia" w:ascii="仿宋" w:hAnsi="仿宋" w:eastAsia="仿宋" w:cs="宋体"/>
          <w:b/>
          <w:color w:val="000000"/>
          <w:kern w:val="0"/>
          <w:sz w:val="24"/>
          <w:szCs w:val="24"/>
          <w:u w:val="single"/>
        </w:rPr>
        <w:t>亲笔签名</w:t>
      </w:r>
      <w:r>
        <w:rPr>
          <w:rFonts w:hint="eastAsia" w:ascii="仿宋" w:hAnsi="仿宋" w:eastAsia="仿宋" w:cs="宋体"/>
          <w:b/>
          <w:color w:val="000000"/>
          <w:kern w:val="0"/>
          <w:sz w:val="24"/>
          <w:szCs w:val="24"/>
        </w:rPr>
        <w:t>，否则，作无效处理）</w:t>
      </w:r>
    </w:p>
    <w:p w14:paraId="5E2BB20D">
      <w:pPr>
        <w:widowControl/>
        <w:spacing w:line="425" w:lineRule="atLeast"/>
        <w:textAlignment w:val="baseline"/>
        <w:rPr>
          <w:rFonts w:ascii="仿宋" w:hAnsi="仿宋" w:eastAsia="仿宋" w:cs="Tahoma"/>
          <w:b/>
          <w:color w:val="000000"/>
          <w:kern w:val="0"/>
          <w:sz w:val="24"/>
          <w:szCs w:val="24"/>
        </w:rPr>
      </w:pPr>
      <w:r>
        <w:rPr>
          <w:rFonts w:hint="eastAsia" w:ascii="仿宋" w:hAnsi="仿宋" w:eastAsia="仿宋" w:cs="Tahoma"/>
          <w:b/>
          <w:color w:val="000000"/>
          <w:kern w:val="0"/>
          <w:sz w:val="24"/>
          <w:szCs w:val="24"/>
        </w:rPr>
        <w:t xml:space="preserve"> </w:t>
      </w:r>
    </w:p>
    <w:p w14:paraId="70893FEC">
      <w:pPr>
        <w:widowControl/>
        <w:spacing w:line="425" w:lineRule="atLeast"/>
        <w:textAlignment w:val="baseline"/>
        <w:rPr>
          <w:rFonts w:ascii="仿宋" w:hAnsi="仿宋" w:eastAsia="仿宋" w:cs="Tahoma"/>
          <w:b/>
          <w:color w:val="000000"/>
          <w:kern w:val="0"/>
          <w:sz w:val="24"/>
          <w:szCs w:val="24"/>
        </w:rPr>
      </w:pPr>
      <w:r>
        <w:rPr>
          <w:rFonts w:hint="eastAsia" w:ascii="仿宋" w:hAnsi="仿宋" w:eastAsia="仿宋" w:cs="Tahoma"/>
          <w:b/>
          <w:color w:val="000000"/>
          <w:kern w:val="0"/>
          <w:sz w:val="24"/>
          <w:szCs w:val="24"/>
        </w:rPr>
        <w:t xml:space="preserve"> </w:t>
      </w:r>
    </w:p>
    <w:p w14:paraId="0A1E6089">
      <w:pPr>
        <w:widowControl/>
        <w:spacing w:line="425" w:lineRule="atLeast"/>
        <w:textAlignment w:val="baseline"/>
        <w:rPr>
          <w:rFonts w:ascii="仿宋" w:hAnsi="仿宋" w:eastAsia="仿宋" w:cs="Tahoma"/>
          <w:b/>
          <w:color w:val="000000"/>
          <w:kern w:val="0"/>
          <w:sz w:val="24"/>
          <w:szCs w:val="24"/>
        </w:rPr>
      </w:pPr>
      <w:r>
        <w:rPr>
          <w:rFonts w:hint="eastAsia" w:ascii="仿宋" w:hAnsi="仿宋" w:eastAsia="仿宋" w:cs="Tahoma"/>
          <w:b/>
          <w:color w:val="000000"/>
          <w:kern w:val="0"/>
          <w:sz w:val="24"/>
          <w:szCs w:val="24"/>
        </w:rPr>
        <w:t xml:space="preserve"> </w:t>
      </w:r>
    </w:p>
    <w:p w14:paraId="260FFD89">
      <w:pPr>
        <w:widowControl/>
        <w:spacing w:line="425" w:lineRule="atLeast"/>
        <w:textAlignment w:val="baseline"/>
        <w:rPr>
          <w:rFonts w:ascii="仿宋" w:hAnsi="仿宋" w:eastAsia="仿宋" w:cs="Tahoma"/>
          <w:b/>
          <w:color w:val="000000"/>
          <w:kern w:val="0"/>
          <w:sz w:val="24"/>
          <w:szCs w:val="24"/>
        </w:rPr>
      </w:pPr>
      <w:r>
        <w:rPr>
          <w:rFonts w:hint="eastAsia" w:ascii="仿宋" w:hAnsi="仿宋" w:eastAsia="仿宋" w:cs="Tahoma"/>
          <w:b/>
          <w:color w:val="000000"/>
          <w:kern w:val="0"/>
          <w:sz w:val="24"/>
          <w:szCs w:val="24"/>
        </w:rPr>
        <w:t xml:space="preserve"> </w:t>
      </w:r>
    </w:p>
    <w:p w14:paraId="5A292D4C">
      <w:pPr>
        <w:widowControl/>
        <w:spacing w:line="425" w:lineRule="atLeast"/>
        <w:textAlignment w:val="baseline"/>
        <w:rPr>
          <w:rFonts w:ascii="仿宋" w:hAnsi="仿宋" w:eastAsia="仿宋" w:cs="Tahoma"/>
          <w:b/>
          <w:color w:val="000000"/>
          <w:kern w:val="0"/>
          <w:sz w:val="24"/>
          <w:szCs w:val="24"/>
        </w:rPr>
      </w:pPr>
      <w:r>
        <w:rPr>
          <w:rFonts w:hint="eastAsia" w:ascii="仿宋" w:hAnsi="仿宋" w:eastAsia="仿宋" w:cs="Tahoma"/>
          <w:b/>
          <w:color w:val="000000"/>
          <w:kern w:val="0"/>
          <w:sz w:val="24"/>
          <w:szCs w:val="24"/>
        </w:rPr>
        <w:t xml:space="preserve"> </w:t>
      </w:r>
    </w:p>
    <w:p w14:paraId="3B8A1F0F">
      <w:pPr>
        <w:widowControl/>
        <w:spacing w:line="425" w:lineRule="atLeast"/>
        <w:textAlignment w:val="baseline"/>
        <w:rPr>
          <w:rFonts w:ascii="仿宋" w:hAnsi="仿宋" w:eastAsia="仿宋" w:cs="Tahoma"/>
          <w:b/>
          <w:color w:val="000000"/>
          <w:kern w:val="0"/>
          <w:sz w:val="24"/>
          <w:szCs w:val="24"/>
        </w:rPr>
      </w:pPr>
      <w:r>
        <w:rPr>
          <w:rFonts w:hint="eastAsia" w:ascii="仿宋" w:hAnsi="仿宋" w:eastAsia="仿宋" w:cs="Tahoma"/>
          <w:b/>
          <w:color w:val="000000"/>
          <w:kern w:val="0"/>
          <w:sz w:val="24"/>
          <w:szCs w:val="24"/>
        </w:rPr>
        <w:t xml:space="preserve"> </w:t>
      </w:r>
    </w:p>
    <w:p w14:paraId="522A77E0">
      <w:pPr>
        <w:widowControl/>
        <w:spacing w:line="425" w:lineRule="atLeast"/>
        <w:textAlignment w:val="baseline"/>
        <w:rPr>
          <w:rFonts w:ascii="仿宋" w:hAnsi="仿宋" w:eastAsia="仿宋" w:cs="Tahoma"/>
          <w:b/>
          <w:color w:val="000000"/>
          <w:kern w:val="0"/>
          <w:sz w:val="24"/>
          <w:szCs w:val="24"/>
        </w:rPr>
      </w:pPr>
      <w:r>
        <w:rPr>
          <w:rFonts w:hint="eastAsia" w:ascii="仿宋" w:hAnsi="仿宋" w:eastAsia="仿宋" w:cs="Tahoma"/>
          <w:b/>
          <w:color w:val="000000"/>
          <w:kern w:val="0"/>
          <w:sz w:val="24"/>
          <w:szCs w:val="24"/>
        </w:rPr>
        <w:t xml:space="preserve"> </w:t>
      </w:r>
    </w:p>
    <w:p w14:paraId="6A78A7EE">
      <w:pPr>
        <w:widowControl/>
        <w:spacing w:line="425" w:lineRule="atLeast"/>
        <w:textAlignment w:val="baseline"/>
        <w:rPr>
          <w:rFonts w:ascii="仿宋" w:hAnsi="仿宋" w:eastAsia="仿宋" w:cs="Tahoma"/>
          <w:b/>
          <w:color w:val="000000"/>
          <w:kern w:val="0"/>
          <w:sz w:val="24"/>
          <w:szCs w:val="24"/>
        </w:rPr>
      </w:pPr>
      <w:r>
        <w:rPr>
          <w:rFonts w:hint="eastAsia" w:ascii="仿宋" w:hAnsi="仿宋" w:eastAsia="仿宋" w:cs="Tahoma"/>
          <w:b/>
          <w:color w:val="000000"/>
          <w:kern w:val="0"/>
          <w:sz w:val="24"/>
          <w:szCs w:val="24"/>
        </w:rPr>
        <w:t xml:space="preserve"> </w:t>
      </w:r>
    </w:p>
    <w:p w14:paraId="3029D20A">
      <w:pPr>
        <w:widowControl/>
        <w:spacing w:line="425" w:lineRule="atLeast"/>
        <w:textAlignment w:val="baseline"/>
        <w:rPr>
          <w:rFonts w:ascii="仿宋" w:hAnsi="仿宋" w:eastAsia="仿宋" w:cs="Tahoma"/>
          <w:b/>
          <w:color w:val="000000"/>
          <w:kern w:val="0"/>
          <w:sz w:val="24"/>
          <w:szCs w:val="24"/>
        </w:rPr>
      </w:pPr>
      <w:r>
        <w:rPr>
          <w:rFonts w:hint="eastAsia" w:ascii="仿宋" w:hAnsi="仿宋" w:eastAsia="仿宋" w:cs="Tahoma"/>
          <w:b/>
          <w:color w:val="000000"/>
          <w:kern w:val="0"/>
          <w:sz w:val="24"/>
          <w:szCs w:val="24"/>
        </w:rPr>
        <w:t xml:space="preserve"> </w:t>
      </w:r>
    </w:p>
    <w:p w14:paraId="3E832ACC">
      <w:pPr>
        <w:widowControl/>
        <w:spacing w:line="425" w:lineRule="atLeast"/>
        <w:textAlignment w:val="baseline"/>
        <w:rPr>
          <w:rFonts w:ascii="仿宋" w:hAnsi="仿宋" w:eastAsia="仿宋"/>
          <w:color w:val="000000"/>
          <w:kern w:val="0"/>
        </w:rPr>
      </w:pPr>
      <w:r>
        <w:rPr>
          <w:rFonts w:hint="eastAsia" w:ascii="仿宋" w:hAnsi="仿宋" w:eastAsia="仿宋"/>
          <w:color w:val="000000"/>
          <w:kern w:val="0"/>
        </w:rPr>
        <w:t xml:space="preserve"> </w:t>
      </w:r>
    </w:p>
    <w:p w14:paraId="465DD68B">
      <w:pPr>
        <w:widowControl/>
        <w:spacing w:line="425" w:lineRule="atLeast"/>
        <w:textAlignment w:val="baseline"/>
        <w:rPr>
          <w:rFonts w:ascii="仿宋" w:hAnsi="仿宋" w:eastAsia="仿宋" w:cs="Tahoma"/>
          <w:b/>
          <w:color w:val="000000"/>
          <w:kern w:val="0"/>
          <w:sz w:val="24"/>
          <w:szCs w:val="24"/>
        </w:rPr>
      </w:pPr>
      <w:r>
        <w:rPr>
          <w:rFonts w:hint="eastAsia" w:ascii="仿宋" w:hAnsi="仿宋" w:eastAsia="仿宋" w:cs="Tahoma"/>
          <w:b/>
          <w:color w:val="000000"/>
          <w:kern w:val="0"/>
          <w:sz w:val="24"/>
          <w:szCs w:val="24"/>
        </w:rPr>
        <w:t xml:space="preserve"> </w:t>
      </w:r>
    </w:p>
    <w:p w14:paraId="675549E4">
      <w:pPr>
        <w:widowControl/>
        <w:spacing w:line="425" w:lineRule="atLeast"/>
        <w:textAlignment w:val="baseline"/>
        <w:rPr>
          <w:rFonts w:ascii="仿宋" w:hAnsi="仿宋" w:eastAsia="仿宋"/>
          <w:color w:val="000000"/>
          <w:kern w:val="0"/>
        </w:rPr>
      </w:pPr>
      <w:r>
        <w:rPr>
          <w:rFonts w:hint="eastAsia" w:ascii="仿宋" w:hAnsi="仿宋" w:eastAsia="仿宋" w:cs="Tahoma"/>
          <w:b/>
          <w:color w:val="000000"/>
          <w:kern w:val="0"/>
          <w:sz w:val="24"/>
          <w:szCs w:val="24"/>
        </w:rPr>
        <w:t xml:space="preserve"> 附件4</w:t>
      </w:r>
    </w:p>
    <w:p w14:paraId="56462939">
      <w:pPr>
        <w:widowControl/>
        <w:spacing w:line="425" w:lineRule="atLeast"/>
        <w:jc w:val="center"/>
        <w:textAlignment w:val="baseline"/>
        <w:rPr>
          <w:rFonts w:ascii="仿宋" w:hAnsi="仿宋" w:eastAsia="仿宋" w:cs="宋体"/>
          <w:b/>
          <w:color w:val="000000"/>
          <w:kern w:val="0"/>
          <w:sz w:val="28"/>
          <w:szCs w:val="28"/>
        </w:rPr>
      </w:pPr>
      <w:r>
        <w:rPr>
          <w:rFonts w:hint="eastAsia" w:ascii="仿宋" w:hAnsi="仿宋" w:eastAsia="仿宋" w:cs="宋体"/>
          <w:b/>
          <w:color w:val="000000"/>
          <w:kern w:val="0"/>
          <w:sz w:val="28"/>
          <w:szCs w:val="28"/>
        </w:rPr>
        <w:t>法定代表人证明书</w:t>
      </w:r>
    </w:p>
    <w:p w14:paraId="04F747C7">
      <w:pPr>
        <w:widowControl/>
        <w:spacing w:line="500" w:lineRule="exact"/>
        <w:ind w:firstLine="480" w:firstLineChars="20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u w:val="single"/>
        </w:rPr>
        <w:t>（法定代表人姓名）</w:t>
      </w:r>
      <w:r>
        <w:rPr>
          <w:rFonts w:hint="eastAsia" w:ascii="仿宋" w:hAnsi="仿宋" w:eastAsia="仿宋" w:cs="宋体"/>
          <w:color w:val="000000"/>
          <w:kern w:val="0"/>
          <w:sz w:val="24"/>
          <w:szCs w:val="24"/>
        </w:rPr>
        <w:t>同志，</w:t>
      </w:r>
      <w:r>
        <w:rPr>
          <w:rFonts w:hint="eastAsia" w:ascii="仿宋" w:hAnsi="仿宋" w:eastAsia="仿宋" w:cs="宋体"/>
          <w:color w:val="000000"/>
          <w:kern w:val="0"/>
          <w:sz w:val="24"/>
          <w:szCs w:val="24"/>
          <w:u w:val="single"/>
        </w:rPr>
        <w:t>( 身份证号码： )</w:t>
      </w:r>
      <w:r>
        <w:rPr>
          <w:rFonts w:hint="eastAsia" w:ascii="仿宋" w:hAnsi="仿宋" w:eastAsia="仿宋" w:cs="宋体"/>
          <w:color w:val="000000"/>
          <w:kern w:val="0"/>
          <w:sz w:val="24"/>
          <w:szCs w:val="24"/>
        </w:rPr>
        <w:t>现任我单位</w:t>
      </w:r>
      <w:r>
        <w:rPr>
          <w:rFonts w:hint="eastAsia" w:ascii="仿宋" w:hAnsi="仿宋" w:eastAsia="仿宋" w:cs="宋体"/>
          <w:color w:val="000000"/>
          <w:kern w:val="0"/>
          <w:sz w:val="24"/>
          <w:szCs w:val="24"/>
          <w:u w:val="single"/>
        </w:rPr>
        <w:t xml:space="preserve"> （报价供应商名称、职务） </w:t>
      </w:r>
      <w:r>
        <w:rPr>
          <w:rFonts w:hint="eastAsia" w:ascii="仿宋" w:hAnsi="仿宋" w:eastAsia="仿宋" w:cs="宋体"/>
          <w:color w:val="000000"/>
          <w:kern w:val="0"/>
          <w:sz w:val="24"/>
          <w:szCs w:val="24"/>
        </w:rPr>
        <w:t>，为法定代表人，特此证明。</w:t>
      </w:r>
    </w:p>
    <w:p w14:paraId="2C0DFD53">
      <w:pPr>
        <w:widowControl/>
        <w:spacing w:line="500" w:lineRule="exact"/>
        <w:ind w:firstLine="480" w:firstLineChars="200"/>
        <w:textAlignment w:val="baseline"/>
        <w:rPr>
          <w:rFonts w:ascii="仿宋" w:hAnsi="仿宋" w:eastAsia="仿宋" w:cs="宋体"/>
          <w:color w:val="000000"/>
          <w:kern w:val="0"/>
          <w:sz w:val="24"/>
          <w:szCs w:val="24"/>
          <w:u w:val="single"/>
        </w:rPr>
      </w:pPr>
      <w:r>
        <w:rPr>
          <w:rFonts w:hint="eastAsia" w:ascii="仿宋" w:hAnsi="仿宋" w:eastAsia="仿宋" w:cs="宋体"/>
          <w:color w:val="000000"/>
          <w:kern w:val="0"/>
          <w:sz w:val="24"/>
          <w:szCs w:val="24"/>
        </w:rPr>
        <w:t>营业执照号码：</w:t>
      </w:r>
    </w:p>
    <w:p w14:paraId="101E9F49">
      <w:pPr>
        <w:widowControl/>
        <w:spacing w:line="500" w:lineRule="exact"/>
        <w:ind w:firstLine="480" w:firstLineChars="200"/>
        <w:textAlignment w:val="baseline"/>
        <w:rPr>
          <w:rFonts w:ascii="仿宋" w:hAnsi="仿宋" w:eastAsia="仿宋" w:cs="宋体"/>
          <w:color w:val="000000"/>
          <w:kern w:val="0"/>
          <w:sz w:val="24"/>
          <w:szCs w:val="24"/>
          <w:u w:val="single"/>
        </w:rPr>
      </w:pPr>
      <w:r>
        <w:rPr>
          <w:rFonts w:hint="eastAsia" w:ascii="仿宋" w:hAnsi="仿宋" w:eastAsia="仿宋" w:cs="宋体"/>
          <w:color w:val="000000"/>
          <w:kern w:val="0"/>
          <w:sz w:val="24"/>
          <w:szCs w:val="24"/>
        </w:rPr>
        <w:t>组织机构代码：</w:t>
      </w:r>
    </w:p>
    <w:p w14:paraId="4C1D3E86">
      <w:pPr>
        <w:widowControl/>
        <w:spacing w:line="500" w:lineRule="exact"/>
        <w:ind w:firstLine="480" w:firstLineChars="200"/>
        <w:textAlignment w:val="baseline"/>
        <w:rPr>
          <w:rFonts w:ascii="仿宋" w:hAnsi="仿宋" w:eastAsia="仿宋" w:cs="宋体"/>
          <w:color w:val="000000"/>
          <w:kern w:val="0"/>
          <w:sz w:val="24"/>
          <w:szCs w:val="24"/>
          <w:u w:val="single"/>
        </w:rPr>
      </w:pPr>
      <w:r>
        <w:rPr>
          <w:rFonts w:hint="eastAsia" w:ascii="仿宋" w:hAnsi="仿宋" w:eastAsia="仿宋" w:cs="宋体"/>
          <w:color w:val="000000"/>
          <w:kern w:val="0"/>
          <w:sz w:val="24"/>
          <w:szCs w:val="24"/>
        </w:rPr>
        <w:t>经 济 性  质：</w:t>
      </w:r>
    </w:p>
    <w:p w14:paraId="17B18A1D">
      <w:pPr>
        <w:widowControl/>
        <w:spacing w:line="500" w:lineRule="exact"/>
        <w:ind w:firstLine="480" w:firstLineChars="200"/>
        <w:textAlignment w:val="baseline"/>
        <w:rPr>
          <w:rFonts w:ascii="仿宋" w:hAnsi="仿宋" w:eastAsia="仿宋" w:cs="宋体"/>
          <w:color w:val="000000"/>
          <w:kern w:val="0"/>
          <w:sz w:val="28"/>
          <w:szCs w:val="28"/>
        </w:rPr>
      </w:pPr>
      <w:r>
        <w:rPr>
          <w:rFonts w:hint="eastAsia" w:ascii="仿宋" w:hAnsi="仿宋" w:eastAsia="仿宋" w:cs="宋体"/>
          <w:color w:val="000000"/>
          <w:kern w:val="0"/>
          <w:sz w:val="24"/>
          <w:szCs w:val="24"/>
        </w:rPr>
        <w:t>成立日期：</w:t>
      </w:r>
    </w:p>
    <w:tbl>
      <w:tblPr>
        <w:tblStyle w:val="7"/>
        <w:tblW w:w="5610" w:type="dxa"/>
        <w:tblInd w:w="2076" w:type="dxa"/>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Layout w:type="fixed"/>
        <w:tblCellMar>
          <w:top w:w="0" w:type="dxa"/>
          <w:left w:w="108" w:type="dxa"/>
          <w:bottom w:w="0" w:type="dxa"/>
          <w:right w:w="108" w:type="dxa"/>
        </w:tblCellMar>
      </w:tblPr>
      <w:tblGrid>
        <w:gridCol w:w="5610"/>
      </w:tblGrid>
      <w:tr w14:paraId="5C53F8C1">
        <w:tblPrEx>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CellMar>
            <w:top w:w="0" w:type="dxa"/>
            <w:left w:w="108" w:type="dxa"/>
            <w:bottom w:w="0" w:type="dxa"/>
            <w:right w:w="108" w:type="dxa"/>
          </w:tblCellMar>
        </w:tblPrEx>
        <w:trPr>
          <w:trHeight w:val="2627" w:hRule="atLeast"/>
        </w:trPr>
        <w:tc>
          <w:tcPr>
            <w:tcW w:w="5610" w:type="dxa"/>
            <w:tcBorders>
              <w:top w:val="dotDash" w:color="000000" w:sz="4" w:space="0"/>
              <w:left w:val="dotDash" w:color="000000" w:sz="4" w:space="0"/>
              <w:bottom w:val="dotDash" w:color="000000" w:sz="4" w:space="0"/>
              <w:right w:val="dotDash" w:color="000000" w:sz="4" w:space="0"/>
            </w:tcBorders>
          </w:tcPr>
          <w:p w14:paraId="08A78FF4">
            <w:pPr>
              <w:widowControl/>
              <w:spacing w:line="500" w:lineRule="exact"/>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附法定代表人身份证复印件</w:t>
            </w:r>
          </w:p>
          <w:p w14:paraId="0918CA3A">
            <w:pPr>
              <w:widowControl/>
              <w:spacing w:line="500" w:lineRule="exact"/>
              <w:textAlignment w:val="baseline"/>
              <w:rPr>
                <w:rFonts w:ascii="仿宋" w:hAnsi="仿宋" w:eastAsia="仿宋" w:cs="宋体"/>
                <w:color w:val="000000"/>
                <w:kern w:val="0"/>
                <w:sz w:val="24"/>
                <w:szCs w:val="24"/>
              </w:rPr>
            </w:pPr>
          </w:p>
        </w:tc>
      </w:tr>
      <w:tr w14:paraId="29118616">
        <w:tblPrEx>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CellMar>
            <w:top w:w="0" w:type="dxa"/>
            <w:left w:w="108" w:type="dxa"/>
            <w:bottom w:w="0" w:type="dxa"/>
            <w:right w:w="108" w:type="dxa"/>
          </w:tblCellMar>
        </w:tblPrEx>
        <w:trPr>
          <w:trHeight w:val="2627" w:hRule="atLeast"/>
        </w:trPr>
        <w:tc>
          <w:tcPr>
            <w:tcW w:w="5610" w:type="dxa"/>
            <w:tcBorders>
              <w:top w:val="dotDash" w:color="000000" w:sz="4" w:space="0"/>
              <w:left w:val="dotDash" w:color="000000" w:sz="4" w:space="0"/>
              <w:bottom w:val="dotDash" w:color="000000" w:sz="4" w:space="0"/>
              <w:right w:val="dotDash" w:color="000000" w:sz="4" w:space="0"/>
            </w:tcBorders>
          </w:tcPr>
          <w:p w14:paraId="6763CBD0">
            <w:pPr>
              <w:widowControl/>
              <w:spacing w:line="500" w:lineRule="exact"/>
              <w:textAlignment w:val="baseline"/>
              <w:rPr>
                <w:rFonts w:ascii="仿宋" w:hAnsi="仿宋" w:eastAsia="仿宋" w:cs="宋体"/>
                <w:color w:val="000000"/>
                <w:kern w:val="0"/>
                <w:sz w:val="24"/>
                <w:szCs w:val="24"/>
              </w:rPr>
            </w:pPr>
          </w:p>
        </w:tc>
      </w:tr>
    </w:tbl>
    <w:p w14:paraId="6CAC7F7E">
      <w:pPr>
        <w:widowControl/>
        <w:spacing w:line="500" w:lineRule="exact"/>
        <w:ind w:left="4599" w:leftChars="219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报价供应商（公章）：</w:t>
      </w:r>
    </w:p>
    <w:p w14:paraId="182607A3">
      <w:pPr>
        <w:widowControl/>
        <w:spacing w:line="500" w:lineRule="exact"/>
        <w:ind w:left="4599" w:leftChars="219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报价供应商地址：</w:t>
      </w:r>
    </w:p>
    <w:p w14:paraId="115CB266">
      <w:pPr>
        <w:widowControl/>
        <w:spacing w:line="500" w:lineRule="exact"/>
        <w:ind w:left="4599" w:leftChars="219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法定代表人姓名（签名）：</w:t>
      </w:r>
    </w:p>
    <w:p w14:paraId="3F2BDFA0">
      <w:pPr>
        <w:widowControl/>
        <w:spacing w:line="500" w:lineRule="exact"/>
        <w:ind w:left="4599" w:leftChars="219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联 系 电 话：</w:t>
      </w:r>
    </w:p>
    <w:p w14:paraId="60362DDE">
      <w:pPr>
        <w:widowControl/>
        <w:spacing w:line="500" w:lineRule="exact"/>
        <w:ind w:left="4599" w:leftChars="219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日    期：</w:t>
      </w:r>
    </w:p>
    <w:p w14:paraId="14A61E97">
      <w:pPr>
        <w:widowControl/>
        <w:spacing w:line="500" w:lineRule="exact"/>
        <w:ind w:left="4599" w:leftChars="219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 xml:space="preserve"> </w:t>
      </w:r>
    </w:p>
    <w:p w14:paraId="52719D0E">
      <w:pPr>
        <w:widowControl/>
        <w:spacing w:line="425" w:lineRule="atLeast"/>
        <w:textAlignment w:val="baseline"/>
        <w:rPr>
          <w:rFonts w:ascii="仿宋" w:hAnsi="仿宋" w:eastAsia="仿宋" w:cs="宋体"/>
          <w:b/>
          <w:color w:val="000000"/>
          <w:kern w:val="0"/>
          <w:sz w:val="24"/>
          <w:szCs w:val="24"/>
        </w:rPr>
      </w:pPr>
      <w:r>
        <w:rPr>
          <w:rFonts w:hint="eastAsia" w:ascii="仿宋" w:hAnsi="仿宋" w:eastAsia="仿宋" w:cs="宋体"/>
          <w:b/>
          <w:color w:val="000000"/>
          <w:kern w:val="0"/>
          <w:sz w:val="24"/>
          <w:szCs w:val="24"/>
        </w:rPr>
        <w:t>（注：本证明书为</w:t>
      </w:r>
      <w:r>
        <w:rPr>
          <w:rFonts w:hint="eastAsia" w:ascii="仿宋" w:hAnsi="仿宋" w:eastAsia="仿宋" w:cs="宋体"/>
          <w:b/>
          <w:color w:val="000000"/>
          <w:kern w:val="0"/>
          <w:sz w:val="24"/>
          <w:szCs w:val="24"/>
          <w:u w:val="single"/>
        </w:rPr>
        <w:t>必要文件(不得改变格式)</w:t>
      </w:r>
      <w:r>
        <w:rPr>
          <w:rFonts w:hint="eastAsia" w:ascii="仿宋" w:hAnsi="仿宋" w:eastAsia="仿宋" w:cs="宋体"/>
          <w:b/>
          <w:color w:val="000000"/>
          <w:kern w:val="0"/>
          <w:sz w:val="24"/>
          <w:szCs w:val="24"/>
        </w:rPr>
        <w:t>，必须</w:t>
      </w:r>
      <w:r>
        <w:rPr>
          <w:rFonts w:hint="eastAsia" w:ascii="仿宋" w:hAnsi="仿宋" w:eastAsia="仿宋" w:cs="宋体"/>
          <w:b/>
          <w:color w:val="000000"/>
          <w:kern w:val="0"/>
          <w:sz w:val="24"/>
          <w:szCs w:val="24"/>
          <w:u w:val="single"/>
        </w:rPr>
        <w:t>加盖报价供应商公章</w:t>
      </w:r>
      <w:r>
        <w:rPr>
          <w:rFonts w:hint="eastAsia" w:ascii="仿宋" w:hAnsi="仿宋" w:eastAsia="仿宋" w:cs="宋体"/>
          <w:b/>
          <w:color w:val="000000"/>
          <w:kern w:val="0"/>
          <w:sz w:val="24"/>
          <w:szCs w:val="24"/>
        </w:rPr>
        <w:t>，必须有法定代表人</w:t>
      </w:r>
      <w:r>
        <w:rPr>
          <w:rFonts w:hint="eastAsia" w:ascii="仿宋" w:hAnsi="仿宋" w:eastAsia="仿宋" w:cs="宋体"/>
          <w:b/>
          <w:color w:val="000000"/>
          <w:kern w:val="0"/>
          <w:sz w:val="24"/>
          <w:szCs w:val="24"/>
          <w:u w:val="single"/>
        </w:rPr>
        <w:t>亲笔签名</w:t>
      </w:r>
      <w:r>
        <w:rPr>
          <w:rFonts w:hint="eastAsia" w:ascii="仿宋" w:hAnsi="仿宋" w:eastAsia="仿宋" w:cs="宋体"/>
          <w:b/>
          <w:color w:val="000000"/>
          <w:kern w:val="0"/>
          <w:sz w:val="24"/>
          <w:szCs w:val="24"/>
        </w:rPr>
        <w:t>，否则，作无效处理）</w:t>
      </w:r>
    </w:p>
    <w:p w14:paraId="0F51AB37">
      <w:pPr>
        <w:widowControl/>
        <w:spacing w:line="425" w:lineRule="atLeast"/>
        <w:textAlignment w:val="baseline"/>
        <w:rPr>
          <w:rFonts w:ascii="仿宋" w:hAnsi="仿宋" w:eastAsia="仿宋" w:cs="宋体"/>
          <w:color w:val="000000"/>
          <w:kern w:val="0"/>
          <w:sz w:val="28"/>
          <w:szCs w:val="28"/>
        </w:rPr>
      </w:pPr>
      <w:r>
        <w:rPr>
          <w:rFonts w:hint="eastAsia" w:ascii="仿宋" w:hAnsi="仿宋" w:eastAsia="仿宋" w:cs="宋体"/>
          <w:color w:val="000000"/>
          <w:kern w:val="0"/>
          <w:sz w:val="28"/>
          <w:szCs w:val="28"/>
        </w:rPr>
        <w:br w:type="page"/>
      </w:r>
      <w:r>
        <w:rPr>
          <w:rFonts w:hint="eastAsia" w:ascii="仿宋" w:hAnsi="仿宋" w:eastAsia="仿宋" w:cs="Tahoma"/>
          <w:b/>
          <w:color w:val="000000"/>
          <w:kern w:val="0"/>
          <w:sz w:val="24"/>
          <w:szCs w:val="24"/>
        </w:rPr>
        <w:t>附件5</w:t>
      </w:r>
    </w:p>
    <w:p w14:paraId="31E07E43">
      <w:pPr>
        <w:widowControl/>
        <w:spacing w:line="425" w:lineRule="atLeast"/>
        <w:jc w:val="center"/>
        <w:textAlignment w:val="baseline"/>
        <w:rPr>
          <w:rFonts w:ascii="仿宋" w:hAnsi="仿宋" w:eastAsia="仿宋" w:cs="宋体"/>
          <w:color w:val="000000"/>
          <w:kern w:val="0"/>
          <w:sz w:val="28"/>
          <w:szCs w:val="28"/>
        </w:rPr>
      </w:pPr>
      <w:r>
        <w:rPr>
          <w:rFonts w:hint="eastAsia" w:ascii="仿宋" w:hAnsi="仿宋" w:eastAsia="仿宋" w:cs="宋体"/>
          <w:b/>
          <w:color w:val="000000"/>
          <w:kern w:val="0"/>
          <w:sz w:val="28"/>
          <w:szCs w:val="28"/>
        </w:rPr>
        <w:t>授权委托书</w:t>
      </w:r>
    </w:p>
    <w:p w14:paraId="19FB65D0">
      <w:pPr>
        <w:spacing w:line="500" w:lineRule="exact"/>
        <w:rPr>
          <w:rFonts w:ascii="仿宋" w:hAnsi="仿宋" w:eastAsia="仿宋" w:cs="宋体"/>
          <w:color w:val="000000"/>
          <w:kern w:val="0"/>
          <w:sz w:val="24"/>
          <w:szCs w:val="24"/>
        </w:rPr>
      </w:pPr>
      <w:r>
        <w:rPr>
          <w:rFonts w:hint="eastAsia" w:ascii="仿宋" w:hAnsi="仿宋" w:eastAsia="仿宋" w:cs="宋体"/>
          <w:color w:val="000000"/>
          <w:kern w:val="0"/>
          <w:sz w:val="24"/>
          <w:szCs w:val="24"/>
        </w:rPr>
        <w:t>致:广东财经大学</w:t>
      </w:r>
    </w:p>
    <w:p w14:paraId="209CA201">
      <w:pPr>
        <w:widowControl/>
        <w:spacing w:line="500" w:lineRule="exact"/>
        <w:ind w:firstLine="614" w:firstLineChars="256"/>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本授权书声明：</w:t>
      </w:r>
      <w:r>
        <w:rPr>
          <w:rFonts w:hint="eastAsia" w:ascii="仿宋" w:hAnsi="仿宋" w:eastAsia="仿宋" w:cs="宋体"/>
          <w:color w:val="000000"/>
          <w:kern w:val="0"/>
          <w:sz w:val="24"/>
          <w:szCs w:val="24"/>
          <w:u w:val="single"/>
        </w:rPr>
        <w:t xml:space="preserve"> （法定代表人姓名） </w:t>
      </w:r>
      <w:r>
        <w:rPr>
          <w:rFonts w:hint="eastAsia" w:ascii="仿宋" w:hAnsi="仿宋" w:eastAsia="仿宋" w:cs="宋体"/>
          <w:color w:val="000000"/>
          <w:kern w:val="0"/>
          <w:sz w:val="24"/>
          <w:szCs w:val="24"/>
        </w:rPr>
        <w:t>是注册于</w:t>
      </w:r>
      <w:r>
        <w:rPr>
          <w:rFonts w:hint="eastAsia" w:ascii="仿宋" w:hAnsi="仿宋" w:eastAsia="仿宋" w:cs="宋体"/>
          <w:color w:val="000000"/>
          <w:kern w:val="0"/>
          <w:sz w:val="24"/>
          <w:szCs w:val="24"/>
          <w:u w:val="single"/>
        </w:rPr>
        <w:t>（国家或地区）</w:t>
      </w:r>
      <w:r>
        <w:rPr>
          <w:rFonts w:hint="eastAsia" w:ascii="仿宋" w:hAnsi="仿宋" w:eastAsia="仿宋" w:cs="宋体"/>
          <w:color w:val="000000"/>
          <w:kern w:val="0"/>
          <w:sz w:val="24"/>
          <w:szCs w:val="24"/>
        </w:rPr>
        <w:t>的 （报价供应商公司名称）的法定代表人，现任</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rPr>
        <w:t>职务。在</w:t>
      </w:r>
      <w:r>
        <w:rPr>
          <w:rFonts w:hint="eastAsia" w:ascii="仿宋" w:hAnsi="仿宋" w:eastAsia="仿宋" w:cs="宋体"/>
          <w:color w:val="000000"/>
          <w:kern w:val="0"/>
          <w:sz w:val="24"/>
          <w:szCs w:val="24"/>
          <w:u w:val="single"/>
        </w:rPr>
        <w:t xml:space="preserve">         </w:t>
      </w:r>
      <w:r>
        <w:rPr>
          <w:rFonts w:hint="eastAsia" w:ascii="仿宋" w:hAnsi="仿宋" w:eastAsia="仿宋" w:cs="宋体"/>
          <w:color w:val="000000"/>
          <w:kern w:val="0"/>
          <w:sz w:val="24"/>
          <w:szCs w:val="24"/>
        </w:rPr>
        <w:t xml:space="preserve">中，现授权 </w:t>
      </w:r>
      <w:r>
        <w:rPr>
          <w:rFonts w:hint="eastAsia" w:ascii="仿宋" w:hAnsi="仿宋" w:eastAsia="仿宋" w:cs="宋体"/>
          <w:color w:val="000000"/>
          <w:kern w:val="0"/>
          <w:sz w:val="24"/>
          <w:szCs w:val="24"/>
          <w:u w:val="single"/>
        </w:rPr>
        <w:t xml:space="preserve">          （姓名、职务）</w:t>
      </w:r>
      <w:r>
        <w:rPr>
          <w:rFonts w:hint="eastAsia" w:ascii="仿宋" w:hAnsi="仿宋" w:eastAsia="仿宋" w:cs="宋体"/>
          <w:color w:val="000000"/>
          <w:kern w:val="0"/>
          <w:sz w:val="24"/>
          <w:szCs w:val="24"/>
        </w:rPr>
        <w:t>作为我公司的全权代理人，以我方的名义处理一切与之有关的事宜。</w:t>
      </w:r>
    </w:p>
    <w:p w14:paraId="3D4F256E">
      <w:pPr>
        <w:widowControl/>
        <w:spacing w:line="500" w:lineRule="exact"/>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本授权书于    年   月    日签字生效，有效期至    年    月    日。</w:t>
      </w:r>
    </w:p>
    <w:tbl>
      <w:tblPr>
        <w:tblStyle w:val="7"/>
        <w:tblW w:w="5610" w:type="dxa"/>
        <w:tblInd w:w="135" w:type="dxa"/>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Layout w:type="fixed"/>
        <w:tblCellMar>
          <w:top w:w="0" w:type="dxa"/>
          <w:left w:w="108" w:type="dxa"/>
          <w:bottom w:w="0" w:type="dxa"/>
          <w:right w:w="108" w:type="dxa"/>
        </w:tblCellMar>
      </w:tblPr>
      <w:tblGrid>
        <w:gridCol w:w="5610"/>
      </w:tblGrid>
      <w:tr w14:paraId="321084A1">
        <w:tblPrEx>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CellMar>
            <w:top w:w="0" w:type="dxa"/>
            <w:left w:w="108" w:type="dxa"/>
            <w:bottom w:w="0" w:type="dxa"/>
            <w:right w:w="108" w:type="dxa"/>
          </w:tblCellMar>
        </w:tblPrEx>
        <w:trPr>
          <w:trHeight w:val="1972" w:hRule="atLeast"/>
        </w:trPr>
        <w:tc>
          <w:tcPr>
            <w:tcW w:w="5610" w:type="dxa"/>
            <w:tcBorders>
              <w:top w:val="dotDash" w:color="000000" w:sz="4" w:space="0"/>
              <w:left w:val="dotDash" w:color="000000" w:sz="4" w:space="0"/>
              <w:bottom w:val="dotDash" w:color="000000" w:sz="4" w:space="0"/>
              <w:right w:val="dotDash" w:color="000000" w:sz="4" w:space="0"/>
            </w:tcBorders>
          </w:tcPr>
          <w:p w14:paraId="24CF5E08">
            <w:pPr>
              <w:widowControl/>
              <w:spacing w:line="500" w:lineRule="exact"/>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附被授权人身份证复印件</w:t>
            </w:r>
          </w:p>
          <w:p w14:paraId="1C48A4A4">
            <w:pPr>
              <w:widowControl/>
              <w:spacing w:line="500" w:lineRule="exact"/>
              <w:textAlignment w:val="baseline"/>
              <w:rPr>
                <w:rFonts w:ascii="仿宋" w:hAnsi="仿宋" w:eastAsia="仿宋" w:cs="宋体"/>
                <w:color w:val="000000"/>
                <w:kern w:val="0"/>
                <w:sz w:val="24"/>
                <w:szCs w:val="24"/>
              </w:rPr>
            </w:pPr>
          </w:p>
        </w:tc>
      </w:tr>
      <w:tr w14:paraId="0D1EB4ED">
        <w:tblPrEx>
          <w:tblBorders>
            <w:top w:val="dotDash" w:color="000000" w:sz="4" w:space="0"/>
            <w:left w:val="dotDash" w:color="000000" w:sz="4" w:space="0"/>
            <w:bottom w:val="dotDash" w:color="000000" w:sz="4" w:space="0"/>
            <w:right w:val="dotDash" w:color="000000" w:sz="4" w:space="0"/>
            <w:insideH w:val="dotDash" w:color="000000" w:sz="4" w:space="0"/>
            <w:insideV w:val="dotDash" w:color="000000" w:sz="4" w:space="0"/>
          </w:tblBorders>
        </w:tblPrEx>
        <w:trPr>
          <w:trHeight w:val="2072" w:hRule="atLeast"/>
        </w:trPr>
        <w:tc>
          <w:tcPr>
            <w:tcW w:w="5610" w:type="dxa"/>
            <w:tcBorders>
              <w:top w:val="dotDash" w:color="000000" w:sz="4" w:space="0"/>
              <w:left w:val="dotDash" w:color="000000" w:sz="4" w:space="0"/>
              <w:bottom w:val="dotDash" w:color="000000" w:sz="4" w:space="0"/>
              <w:right w:val="dotDash" w:color="000000" w:sz="4" w:space="0"/>
            </w:tcBorders>
          </w:tcPr>
          <w:p w14:paraId="1E1DEB73">
            <w:pPr>
              <w:widowControl/>
              <w:spacing w:line="500" w:lineRule="exact"/>
              <w:textAlignment w:val="baseline"/>
              <w:rPr>
                <w:rFonts w:ascii="仿宋" w:hAnsi="仿宋" w:eastAsia="仿宋" w:cs="宋体"/>
                <w:color w:val="000000"/>
                <w:kern w:val="0"/>
                <w:sz w:val="24"/>
                <w:szCs w:val="24"/>
              </w:rPr>
            </w:pPr>
          </w:p>
        </w:tc>
      </w:tr>
    </w:tbl>
    <w:p w14:paraId="347B9EDA">
      <w:pPr>
        <w:widowControl/>
        <w:tabs>
          <w:tab w:val="center" w:pos="4153"/>
        </w:tabs>
        <w:spacing w:line="500" w:lineRule="exact"/>
        <w:textAlignment w:val="baseline"/>
        <w:rPr>
          <w:rFonts w:ascii="仿宋" w:hAnsi="仿宋" w:eastAsia="仿宋" w:cs="宋体"/>
          <w:color w:val="000000"/>
          <w:kern w:val="0"/>
          <w:sz w:val="18"/>
          <w:szCs w:val="18"/>
        </w:rPr>
      </w:pPr>
    </w:p>
    <w:p w14:paraId="3412D11D">
      <w:pPr>
        <w:widowControl/>
        <w:spacing w:line="500" w:lineRule="exact"/>
        <w:ind w:firstLine="4200" w:firstLineChars="175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报价供应商（公章）：</w:t>
      </w:r>
    </w:p>
    <w:p w14:paraId="26AAB9A1">
      <w:pPr>
        <w:widowControl/>
        <w:spacing w:line="500" w:lineRule="exact"/>
        <w:ind w:firstLine="4200" w:firstLineChars="175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地        址：</w:t>
      </w:r>
    </w:p>
    <w:p w14:paraId="342ED475">
      <w:pPr>
        <w:widowControl/>
        <w:spacing w:line="500" w:lineRule="exact"/>
        <w:ind w:firstLine="4200" w:firstLineChars="175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法定代表人（签名）：</w:t>
      </w:r>
    </w:p>
    <w:p w14:paraId="711D52C9">
      <w:pPr>
        <w:widowControl/>
        <w:spacing w:line="500" w:lineRule="exact"/>
        <w:ind w:firstLine="4200" w:firstLineChars="175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职        务：</w:t>
      </w:r>
    </w:p>
    <w:p w14:paraId="651AB7DF">
      <w:pPr>
        <w:widowControl/>
        <w:spacing w:line="500" w:lineRule="exact"/>
        <w:ind w:firstLine="4200" w:firstLineChars="175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代理人（签名）：</w:t>
      </w:r>
    </w:p>
    <w:p w14:paraId="285E8E54">
      <w:pPr>
        <w:widowControl/>
        <w:spacing w:line="425" w:lineRule="atLeast"/>
        <w:ind w:firstLine="4320" w:firstLineChars="1800"/>
        <w:textAlignment w:val="baseline"/>
        <w:rPr>
          <w:color w:val="000000"/>
          <w:kern w:val="0"/>
        </w:rPr>
      </w:pPr>
      <w:r>
        <w:rPr>
          <w:rFonts w:hint="eastAsia" w:ascii="仿宋" w:hAnsi="仿宋" w:eastAsia="仿宋" w:cs="宋体"/>
          <w:color w:val="000000"/>
          <w:kern w:val="0"/>
          <w:sz w:val="24"/>
          <w:szCs w:val="24"/>
        </w:rPr>
        <w:t>联 系 电 话：</w:t>
      </w:r>
    </w:p>
    <w:p w14:paraId="5A178EB7">
      <w:pPr>
        <w:widowControl/>
        <w:spacing w:line="500" w:lineRule="exact"/>
        <w:ind w:firstLine="4320" w:firstLineChars="1800"/>
        <w:textAlignment w:val="baseline"/>
        <w:rPr>
          <w:rFonts w:ascii="仿宋" w:hAnsi="仿宋" w:eastAsia="仿宋" w:cs="宋体"/>
          <w:color w:val="000000"/>
          <w:kern w:val="0"/>
          <w:sz w:val="24"/>
          <w:szCs w:val="24"/>
        </w:rPr>
      </w:pPr>
      <w:r>
        <w:rPr>
          <w:rFonts w:hint="eastAsia" w:ascii="仿宋" w:hAnsi="仿宋" w:eastAsia="仿宋" w:cs="宋体"/>
          <w:color w:val="000000"/>
          <w:kern w:val="0"/>
          <w:sz w:val="24"/>
          <w:szCs w:val="24"/>
        </w:rPr>
        <w:t>职       务：</w:t>
      </w:r>
    </w:p>
    <w:p w14:paraId="5263264F">
      <w:pPr>
        <w:widowControl/>
        <w:spacing w:line="425" w:lineRule="atLeast"/>
        <w:textAlignment w:val="baseline"/>
        <w:rPr>
          <w:rFonts w:ascii="仿宋" w:hAnsi="仿宋" w:eastAsia="仿宋" w:cs="宋体"/>
          <w:b/>
          <w:color w:val="000000"/>
          <w:kern w:val="0"/>
          <w:sz w:val="24"/>
          <w:szCs w:val="24"/>
        </w:rPr>
        <w:sectPr>
          <w:pgSz w:w="11906" w:h="16838"/>
          <w:pgMar w:top="1440" w:right="1800" w:bottom="1440" w:left="1800" w:header="851" w:footer="992" w:gutter="0"/>
          <w:cols w:space="425" w:num="1"/>
          <w:docGrid w:type="lines" w:linePitch="312" w:charSpace="0"/>
        </w:sectPr>
      </w:pPr>
      <w:r>
        <w:rPr>
          <w:rFonts w:hint="eastAsia" w:ascii="仿宋" w:hAnsi="仿宋" w:eastAsia="仿宋" w:cs="宋体"/>
          <w:b/>
          <w:color w:val="000000"/>
          <w:kern w:val="0"/>
          <w:sz w:val="24"/>
          <w:szCs w:val="24"/>
        </w:rPr>
        <w:t>（注：法定代表人为报价供应商代表并亲自签署投标文件的可不提交，否则，本委托书为</w:t>
      </w:r>
      <w:r>
        <w:rPr>
          <w:rFonts w:hint="eastAsia" w:ascii="仿宋" w:hAnsi="仿宋" w:eastAsia="仿宋" w:cs="宋体"/>
          <w:b/>
          <w:color w:val="000000"/>
          <w:kern w:val="0"/>
          <w:sz w:val="24"/>
          <w:szCs w:val="24"/>
          <w:u w:val="single"/>
        </w:rPr>
        <w:t>必要文件（不得改变格式）</w:t>
      </w:r>
      <w:r>
        <w:rPr>
          <w:rFonts w:hint="eastAsia" w:ascii="仿宋" w:hAnsi="仿宋" w:eastAsia="仿宋" w:cs="宋体"/>
          <w:b/>
          <w:color w:val="000000"/>
          <w:kern w:val="0"/>
          <w:sz w:val="24"/>
          <w:szCs w:val="24"/>
        </w:rPr>
        <w:t>，必须</w:t>
      </w:r>
      <w:r>
        <w:rPr>
          <w:rFonts w:hint="eastAsia" w:ascii="仿宋" w:hAnsi="仿宋" w:eastAsia="仿宋" w:cs="宋体"/>
          <w:b/>
          <w:color w:val="000000"/>
          <w:kern w:val="0"/>
          <w:sz w:val="24"/>
          <w:szCs w:val="24"/>
          <w:u w:val="single"/>
        </w:rPr>
        <w:t>加盖报价供应商公章</w:t>
      </w:r>
      <w:r>
        <w:rPr>
          <w:rFonts w:hint="eastAsia" w:ascii="仿宋" w:hAnsi="仿宋" w:eastAsia="仿宋" w:cs="宋体"/>
          <w:b/>
          <w:color w:val="000000"/>
          <w:kern w:val="0"/>
          <w:sz w:val="24"/>
          <w:szCs w:val="24"/>
        </w:rPr>
        <w:t>，必须有法定代表人和代理人的</w:t>
      </w:r>
      <w:r>
        <w:rPr>
          <w:rFonts w:hint="eastAsia" w:ascii="仿宋" w:hAnsi="仿宋" w:eastAsia="仿宋" w:cs="宋体"/>
          <w:b/>
          <w:color w:val="000000"/>
          <w:kern w:val="0"/>
          <w:sz w:val="24"/>
          <w:szCs w:val="24"/>
          <w:u w:val="single"/>
        </w:rPr>
        <w:t>亲笔签名</w:t>
      </w:r>
      <w:r>
        <w:rPr>
          <w:rFonts w:hint="eastAsia" w:ascii="仿宋" w:hAnsi="仿宋" w:eastAsia="仿宋" w:cs="宋体"/>
          <w:b/>
          <w:color w:val="000000"/>
          <w:kern w:val="0"/>
          <w:sz w:val="24"/>
          <w:szCs w:val="24"/>
        </w:rPr>
        <w:t>，且有效期不得短于投标截止日或开标日，否则，作无效投标处理）。</w:t>
      </w:r>
    </w:p>
    <w:p w14:paraId="5948F078">
      <w:pPr>
        <w:pStyle w:val="2"/>
        <w:sectPr>
          <w:pgSz w:w="16838" w:h="11906" w:orient="landscape"/>
          <w:pgMar w:top="1800" w:right="1440" w:bottom="1800" w:left="1440" w:header="851" w:footer="992" w:gutter="0"/>
          <w:cols w:space="425" w:num="1"/>
          <w:docGrid w:type="lines" w:linePitch="312" w:charSpace="0"/>
        </w:sectPr>
      </w:pPr>
      <w:r>
        <w:drawing>
          <wp:inline distT="0" distB="0" distL="114300" distR="114300">
            <wp:extent cx="8857615" cy="6181725"/>
            <wp:effectExtent l="0" t="0" r="63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8857615" cy="6181725"/>
                    </a:xfrm>
                    <a:prstGeom prst="rect">
                      <a:avLst/>
                    </a:prstGeom>
                    <a:noFill/>
                    <a:ln>
                      <a:noFill/>
                    </a:ln>
                  </pic:spPr>
                </pic:pic>
              </a:graphicData>
            </a:graphic>
          </wp:inline>
        </w:drawing>
      </w:r>
    </w:p>
    <w:p w14:paraId="46D4627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FF4315"/>
    <w:multiLevelType w:val="multilevel"/>
    <w:tmpl w:val="59FF4315"/>
    <w:lvl w:ilvl="0" w:tentative="0">
      <w:start w:val="1"/>
      <w:numFmt w:val="chineseCountingThousand"/>
      <w:lvlText w:val="（%1）"/>
      <w:lvlJc w:val="left"/>
      <w:pPr>
        <w:tabs>
          <w:tab w:val="left" w:pos="0"/>
        </w:tabs>
        <w:ind w:left="1247" w:hanging="887"/>
      </w:pPr>
      <w:rPr>
        <w:rFonts w:hint="default" w:ascii="Times New Roman" w:hAnsi="Times New Roman" w:cs="Times New Roman"/>
        <w:b w:val="0"/>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1">
    <w:nsid w:val="713B293C"/>
    <w:multiLevelType w:val="multilevel"/>
    <w:tmpl w:val="713B293C"/>
    <w:lvl w:ilvl="0" w:tentative="0">
      <w:start w:val="1"/>
      <w:numFmt w:val="chineseCountingThousand"/>
      <w:lvlText w:val="（%1）"/>
      <w:lvlJc w:val="left"/>
      <w:pPr>
        <w:tabs>
          <w:tab w:val="left" w:pos="0"/>
        </w:tabs>
        <w:ind w:left="1247" w:hanging="887"/>
      </w:pPr>
      <w:rPr>
        <w:rFonts w:hint="default" w:ascii="Times New Roman" w:hAnsi="Times New Roman" w:cs="Times New Roman"/>
        <w:b w:val="0"/>
        <w:sz w:val="24"/>
        <w:szCs w:val="24"/>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FkNjYyZjU5OWNlN2U5Y2I2M2MxYTBiNTIyMWRlOTgifQ=="/>
  </w:docVars>
  <w:rsids>
    <w:rsidRoot w:val="006917BB"/>
    <w:rsid w:val="00040485"/>
    <w:rsid w:val="001A02DB"/>
    <w:rsid w:val="003F0CE1"/>
    <w:rsid w:val="004C71D4"/>
    <w:rsid w:val="005A1073"/>
    <w:rsid w:val="005E4B95"/>
    <w:rsid w:val="006917BB"/>
    <w:rsid w:val="006B2E19"/>
    <w:rsid w:val="00735B79"/>
    <w:rsid w:val="007D6C23"/>
    <w:rsid w:val="007E12F2"/>
    <w:rsid w:val="009812AC"/>
    <w:rsid w:val="009C7F24"/>
    <w:rsid w:val="00AB707B"/>
    <w:rsid w:val="00AF09C1"/>
    <w:rsid w:val="00B874FB"/>
    <w:rsid w:val="00C16E6C"/>
    <w:rsid w:val="00C81707"/>
    <w:rsid w:val="00D36231"/>
    <w:rsid w:val="00E40822"/>
    <w:rsid w:val="00E5259C"/>
    <w:rsid w:val="00FB2809"/>
    <w:rsid w:val="00FC3E5F"/>
    <w:rsid w:val="01155B8E"/>
    <w:rsid w:val="0159104B"/>
    <w:rsid w:val="021F4265"/>
    <w:rsid w:val="030A6CC4"/>
    <w:rsid w:val="03A85A84"/>
    <w:rsid w:val="0BC84512"/>
    <w:rsid w:val="0D981FC1"/>
    <w:rsid w:val="0DCC4F5A"/>
    <w:rsid w:val="0EAA3109"/>
    <w:rsid w:val="0F7F4595"/>
    <w:rsid w:val="11F151E3"/>
    <w:rsid w:val="128819B3"/>
    <w:rsid w:val="12B05F15"/>
    <w:rsid w:val="15BB3E4D"/>
    <w:rsid w:val="197A6F58"/>
    <w:rsid w:val="1B083691"/>
    <w:rsid w:val="1BC669CF"/>
    <w:rsid w:val="1CA16A50"/>
    <w:rsid w:val="1E637CAF"/>
    <w:rsid w:val="1EC82070"/>
    <w:rsid w:val="1F6E1F30"/>
    <w:rsid w:val="21B202D1"/>
    <w:rsid w:val="24594F5D"/>
    <w:rsid w:val="2A6754CA"/>
    <w:rsid w:val="30405223"/>
    <w:rsid w:val="30FA3624"/>
    <w:rsid w:val="32794A1C"/>
    <w:rsid w:val="32BD2B5B"/>
    <w:rsid w:val="353B6CC8"/>
    <w:rsid w:val="36615E76"/>
    <w:rsid w:val="38967039"/>
    <w:rsid w:val="39D804C2"/>
    <w:rsid w:val="3B181276"/>
    <w:rsid w:val="3F9E1C1C"/>
    <w:rsid w:val="41840AA3"/>
    <w:rsid w:val="42C6780A"/>
    <w:rsid w:val="43225CFB"/>
    <w:rsid w:val="43B43B06"/>
    <w:rsid w:val="462F4B86"/>
    <w:rsid w:val="479954ED"/>
    <w:rsid w:val="48ED59D5"/>
    <w:rsid w:val="4BB645E0"/>
    <w:rsid w:val="544043E3"/>
    <w:rsid w:val="56204330"/>
    <w:rsid w:val="5755704D"/>
    <w:rsid w:val="5FE175D9"/>
    <w:rsid w:val="612825BD"/>
    <w:rsid w:val="6370314E"/>
    <w:rsid w:val="65DA0D53"/>
    <w:rsid w:val="6B6A0DCB"/>
    <w:rsid w:val="6D6D4BA2"/>
    <w:rsid w:val="702032E4"/>
    <w:rsid w:val="71366ECD"/>
    <w:rsid w:val="71B477CE"/>
    <w:rsid w:val="770025E3"/>
    <w:rsid w:val="79DA711C"/>
    <w:rsid w:val="7E1D3A7B"/>
    <w:rsid w:val="7EE051D4"/>
    <w:rsid w:val="7FD66C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paragraph" w:styleId="3">
    <w:name w:val="annotation text"/>
    <w:basedOn w:val="1"/>
    <w:semiHidden/>
    <w:unhideWhenUsed/>
    <w:qFormat/>
    <w:uiPriority w:val="99"/>
    <w:pPr>
      <w:jc w:val="left"/>
    </w:pPr>
  </w:style>
  <w:style w:type="paragraph" w:styleId="4">
    <w:name w:val="Balloon Text"/>
    <w:basedOn w:val="1"/>
    <w:link w:val="10"/>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9">
    <w:name w:val="_Style 3"/>
    <w:basedOn w:val="1"/>
    <w:qFormat/>
    <w:uiPriority w:val="0"/>
    <w:pPr>
      <w:ind w:firstLine="420" w:firstLineChars="200"/>
    </w:pPr>
    <w:rPr>
      <w:sz w:val="20"/>
      <w:szCs w:val="20"/>
    </w:rPr>
  </w:style>
  <w:style w:type="character" w:customStyle="1" w:styleId="10">
    <w:name w:val="批注框文本 Char"/>
    <w:basedOn w:val="8"/>
    <w:link w:val="4"/>
    <w:semiHidden/>
    <w:qFormat/>
    <w:uiPriority w:val="99"/>
    <w:rPr>
      <w:rFonts w:ascii="Times New Roman" w:hAnsi="Times New Roman" w:eastAsia="宋体" w:cs="Times New Roman"/>
      <w:kern w:val="2"/>
      <w:sz w:val="18"/>
      <w:szCs w:val="18"/>
    </w:rPr>
  </w:style>
  <w:style w:type="character" w:customStyle="1" w:styleId="11">
    <w:name w:val="页眉 Char"/>
    <w:basedOn w:val="8"/>
    <w:link w:val="6"/>
    <w:qFormat/>
    <w:uiPriority w:val="99"/>
    <w:rPr>
      <w:rFonts w:ascii="Times New Roman" w:hAnsi="Times New Roman" w:eastAsia="宋体" w:cs="Times New Roman"/>
      <w:kern w:val="2"/>
      <w:sz w:val="18"/>
      <w:szCs w:val="18"/>
    </w:rPr>
  </w:style>
  <w:style w:type="character" w:customStyle="1" w:styleId="12">
    <w:name w:val="页脚 Char"/>
    <w:basedOn w:val="8"/>
    <w:link w:val="5"/>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18</Pages>
  <Words>570</Words>
  <Characters>660</Characters>
  <Lines>59</Lines>
  <Paragraphs>16</Paragraphs>
  <TotalTime>3</TotalTime>
  <ScaleCrop>false</ScaleCrop>
  <LinksUpToDate>false</LinksUpToDate>
  <CharactersWithSpaces>661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2022-10-31T01:52:00Z</dcterms:created>
  <dc:creator>Microsoft</dc:creator>
  <cp:lastModifiedBy>罗国华(20171061)</cp:lastModifiedBy>
  <dcterms:modified xsi:type="dcterms:W3CDTF">2026-11-04T08:27:01Z</dcterms:modified>
  <cp:revision>114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2EA6EAC4C1DD4723A0D3056D79A94FA6_13</vt:lpwstr>
  </property>
  <property fmtid="{D5CDD505-2E9C-101B-9397-08002B2CF9AE}" pid="4" name="KSOTemplateDocerSaveRecord">
    <vt:lpwstr>eyJoZGlkIjoiNTk5N2UzMzZlZTMwNDRkOTVjYTAyNmEyYTY5YTJiODgiLCJ1c2VySWQiOiI0NjE5MDk5MjEifQ==</vt:lpwstr>
  </property>
</Properties>
</file>